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113" w:rsidRPr="00751113" w:rsidRDefault="00751113" w:rsidP="00BD3097">
      <w:pPr>
        <w:jc w:val="center"/>
        <w:rPr>
          <w:rFonts w:ascii="Times New Roman" w:hAnsi="Times New Roman" w:cs="Times New Roman"/>
          <w:b/>
          <w:sz w:val="28"/>
          <w:szCs w:val="28"/>
          <w:lang w:val="en-US"/>
        </w:rPr>
      </w:pPr>
      <w:r w:rsidRPr="00751113">
        <w:rPr>
          <w:rFonts w:ascii="Times New Roman" w:hAnsi="Times New Roman" w:cs="Times New Roman"/>
          <w:b/>
          <w:sz w:val="28"/>
          <w:szCs w:val="28"/>
          <w:lang w:val="en-US"/>
        </w:rPr>
        <w:t>IBA Guide on Shareholders’ Agreements</w:t>
      </w:r>
    </w:p>
    <w:p w:rsidR="00751113" w:rsidRPr="00751113" w:rsidRDefault="00BD3097" w:rsidP="00BD3097">
      <w:pPr>
        <w:jc w:val="center"/>
        <w:rPr>
          <w:rFonts w:ascii="Times New Roman" w:hAnsi="Times New Roman" w:cs="Times New Roman"/>
          <w:b/>
          <w:sz w:val="23"/>
          <w:szCs w:val="23"/>
          <w:lang w:val="en-US"/>
        </w:rPr>
      </w:pPr>
      <w:r>
        <w:rPr>
          <w:rFonts w:ascii="Times New Roman" w:hAnsi="Times New Roman" w:cs="Times New Roman"/>
          <w:b/>
          <w:sz w:val="23"/>
          <w:szCs w:val="23"/>
          <w:lang w:val="en-US"/>
        </w:rPr>
        <w:t>Delaware, New York and Florida, USA</w:t>
      </w:r>
    </w:p>
    <w:p w:rsidR="00751113" w:rsidRPr="00AC5D97" w:rsidRDefault="00751113" w:rsidP="00BD3097">
      <w:pPr>
        <w:jc w:val="center"/>
        <w:rPr>
          <w:rFonts w:ascii="Times New Roman" w:hAnsi="Times New Roman" w:cs="Times New Roman"/>
          <w:b/>
          <w:sz w:val="23"/>
          <w:szCs w:val="23"/>
        </w:rPr>
      </w:pPr>
      <w:r w:rsidRPr="00AC5D97">
        <w:rPr>
          <w:rFonts w:ascii="Times New Roman" w:hAnsi="Times New Roman" w:cs="Times New Roman"/>
          <w:b/>
          <w:sz w:val="23"/>
          <w:szCs w:val="23"/>
        </w:rPr>
        <w:t>Xavier Ruiz / Marta Garcia</w:t>
      </w:r>
    </w:p>
    <w:p w:rsidR="00751113" w:rsidRPr="00AC5D97" w:rsidRDefault="00751113" w:rsidP="00BD3097">
      <w:pPr>
        <w:jc w:val="center"/>
        <w:rPr>
          <w:rFonts w:ascii="Times New Roman" w:hAnsi="Times New Roman" w:cs="Times New Roman"/>
          <w:b/>
          <w:sz w:val="23"/>
          <w:szCs w:val="23"/>
        </w:rPr>
      </w:pPr>
      <w:r w:rsidRPr="00AC5D97">
        <w:rPr>
          <w:rFonts w:ascii="Times New Roman" w:hAnsi="Times New Roman" w:cs="Times New Roman"/>
          <w:b/>
          <w:sz w:val="23"/>
          <w:szCs w:val="23"/>
        </w:rPr>
        <w:t>RC RAS</w:t>
      </w:r>
    </w:p>
    <w:p w:rsidR="00751113" w:rsidRPr="00751113" w:rsidRDefault="00751113" w:rsidP="00BD3097">
      <w:pPr>
        <w:jc w:val="center"/>
        <w:rPr>
          <w:rFonts w:ascii="Times New Roman" w:hAnsi="Times New Roman" w:cs="Times New Roman"/>
          <w:b/>
          <w:sz w:val="23"/>
          <w:szCs w:val="23"/>
          <w:lang w:val="en-US"/>
        </w:rPr>
      </w:pPr>
      <w:r w:rsidRPr="00751113">
        <w:rPr>
          <w:rFonts w:ascii="Times New Roman" w:hAnsi="Times New Roman" w:cs="Times New Roman"/>
          <w:b/>
          <w:sz w:val="23"/>
          <w:szCs w:val="23"/>
          <w:lang w:val="en-US"/>
        </w:rPr>
        <w:t>(New York / Miami)</w:t>
      </w:r>
    </w:p>
    <w:p w:rsidR="00404614" w:rsidRPr="00BD3097" w:rsidRDefault="00404614">
      <w:pPr>
        <w:rPr>
          <w:lang w:val="en-US"/>
        </w:rPr>
      </w:pPr>
    </w:p>
    <w:p w:rsidR="00751113" w:rsidRPr="00751113" w:rsidRDefault="0045727E" w:rsidP="00751113">
      <w:pPr>
        <w:pStyle w:val="Prrafodelista"/>
        <w:numPr>
          <w:ilvl w:val="0"/>
          <w:numId w:val="1"/>
        </w:numPr>
        <w:jc w:val="both"/>
        <w:rPr>
          <w:rFonts w:ascii="Times New Roman" w:hAnsi="Times New Roman" w:cs="Times New Roman"/>
          <w:b/>
          <w:sz w:val="23"/>
          <w:szCs w:val="23"/>
          <w:lang w:val="en-US"/>
        </w:rPr>
      </w:pPr>
      <w:r>
        <w:rPr>
          <w:rFonts w:ascii="Times New Roman" w:hAnsi="Times New Roman" w:cs="Times New Roman"/>
          <w:b/>
          <w:sz w:val="23"/>
          <w:szCs w:val="23"/>
          <w:lang w:val="en-US"/>
        </w:rPr>
        <w:t>Are shareholders’ agreements f</w:t>
      </w:r>
      <w:r w:rsidR="00751113" w:rsidRPr="00751113">
        <w:rPr>
          <w:rFonts w:ascii="Times New Roman" w:hAnsi="Times New Roman" w:cs="Times New Roman"/>
          <w:b/>
          <w:sz w:val="23"/>
          <w:szCs w:val="23"/>
          <w:lang w:val="en-US"/>
        </w:rPr>
        <w:t>requent in the United States?</w:t>
      </w:r>
    </w:p>
    <w:p w:rsidR="00751113" w:rsidRPr="00751113" w:rsidRDefault="00751113" w:rsidP="00751113">
      <w:pPr>
        <w:jc w:val="both"/>
        <w:rPr>
          <w:rFonts w:ascii="Times New Roman" w:hAnsi="Times New Roman" w:cs="Times New Roman"/>
          <w:sz w:val="23"/>
          <w:szCs w:val="23"/>
          <w:lang w:val="en-US"/>
        </w:rPr>
      </w:pPr>
      <w:proofErr w:type="gramStart"/>
      <w:r w:rsidRPr="00751113">
        <w:rPr>
          <w:rFonts w:ascii="Times New Roman" w:hAnsi="Times New Roman" w:cs="Times New Roman"/>
          <w:sz w:val="23"/>
          <w:szCs w:val="23"/>
          <w:lang w:val="en-US"/>
        </w:rPr>
        <w:t>Absolutely.</w:t>
      </w:r>
      <w:proofErr w:type="gramEnd"/>
      <w:r w:rsidRPr="00751113">
        <w:rPr>
          <w:rFonts w:ascii="Times New Roman" w:hAnsi="Times New Roman" w:cs="Times New Roman"/>
          <w:sz w:val="23"/>
          <w:szCs w:val="23"/>
          <w:lang w:val="en-US"/>
        </w:rPr>
        <w:t xml:space="preserve"> So are operating agreements, which are used to regulate the governance, rights and obligations of members of a limited liability company. However, this Guide discusses shareholders’ agreements only. Because business entity law is a matter subject to State regulation, this Guide will make references to the regulation of shareholders’ agreements for corporations organized under the laws of the states of Delaware, New York and Florida, by way of example. References to the “United States” in this Guide shall be understood to apply generally to all states.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Shareholders’ agreements are recognized by the General Corporation Law of the State of Delaware (“DGCL”), Del. Code Ann. Tit. 8, §218(c) (2001); the New York Business Corporation Law (“NYBCL”); N.Y. Bus. </w:t>
      </w:r>
      <w:proofErr w:type="gramStart"/>
      <w:r w:rsidRPr="00751113">
        <w:rPr>
          <w:rFonts w:ascii="Times New Roman" w:hAnsi="Times New Roman" w:cs="Times New Roman"/>
          <w:sz w:val="23"/>
          <w:szCs w:val="23"/>
          <w:lang w:val="en-US"/>
        </w:rPr>
        <w:t xml:space="preserve">Corp. Law, §620(a) (2015) (although only in reference to “voting agreements”); and the Florida Business Corporation Act (“FBCA”), </w:t>
      </w:r>
      <w:bookmarkStart w:id="0" w:name="_Hlk515459282"/>
      <w:r w:rsidRPr="00751113">
        <w:rPr>
          <w:rFonts w:ascii="Times New Roman" w:hAnsi="Times New Roman" w:cs="Times New Roman"/>
          <w:sz w:val="23"/>
          <w:szCs w:val="23"/>
          <w:lang w:val="en-US"/>
        </w:rPr>
        <w:t>Fla. Stat. §607.0731-0732</w:t>
      </w:r>
      <w:bookmarkEnd w:id="0"/>
      <w:r w:rsidRPr="00751113">
        <w:rPr>
          <w:rFonts w:ascii="Times New Roman" w:hAnsi="Times New Roman" w:cs="Times New Roman"/>
          <w:sz w:val="23"/>
          <w:szCs w:val="23"/>
          <w:lang w:val="en-US"/>
        </w:rPr>
        <w:t xml:space="preserve"> (2014).</w:t>
      </w:r>
      <w:proofErr w:type="gramEnd"/>
      <w:r w:rsidRPr="00751113">
        <w:rPr>
          <w:rFonts w:ascii="Times New Roman" w:hAnsi="Times New Roman" w:cs="Times New Roman"/>
          <w:sz w:val="23"/>
          <w:szCs w:val="23"/>
          <w:lang w:val="en-US"/>
        </w:rPr>
        <w:t xml:space="preserve"> Shareholders’ agreements are also referred to in some states (such as Delaware) as “stockholders’ agreements.” </w:t>
      </w:r>
      <w:r w:rsidRPr="00751113">
        <w:rPr>
          <w:rFonts w:ascii="Times New Roman" w:hAnsi="Times New Roman" w:cs="Times New Roman"/>
          <w:i/>
          <w:sz w:val="23"/>
          <w:szCs w:val="23"/>
          <w:lang w:val="en-US"/>
        </w:rPr>
        <w:t>See e.g.</w:t>
      </w:r>
      <w:r w:rsidRPr="00751113">
        <w:rPr>
          <w:rFonts w:ascii="Times New Roman" w:hAnsi="Times New Roman" w:cs="Times New Roman"/>
          <w:sz w:val="23"/>
          <w:szCs w:val="23"/>
          <w:lang w:val="en-US"/>
        </w:rPr>
        <w:t xml:space="preserve"> Del. Code Ann. Tit. 8, §218(c).</w:t>
      </w:r>
      <w:r w:rsidRPr="00751113" w:rsidDel="003C4208">
        <w:rPr>
          <w:rFonts w:ascii="Times New Roman" w:hAnsi="Times New Roman" w:cs="Times New Roman"/>
          <w:sz w:val="23"/>
          <w:szCs w:val="23"/>
          <w:lang w:val="en-US"/>
        </w:rPr>
        <w:t xml:space="preserve"> </w:t>
      </w:r>
    </w:p>
    <w:p w:rsidR="00751113" w:rsidRPr="00751113" w:rsidRDefault="0043216C" w:rsidP="00751113">
      <w:pPr>
        <w:pStyle w:val="Prrafodelista"/>
        <w:numPr>
          <w:ilvl w:val="0"/>
          <w:numId w:val="1"/>
        </w:numPr>
        <w:jc w:val="both"/>
        <w:rPr>
          <w:rFonts w:ascii="Times New Roman" w:hAnsi="Times New Roman" w:cs="Times New Roman"/>
          <w:b/>
          <w:sz w:val="23"/>
          <w:szCs w:val="23"/>
          <w:lang w:val="en-US"/>
        </w:rPr>
      </w:pPr>
      <w:r>
        <w:rPr>
          <w:rFonts w:ascii="Times New Roman" w:hAnsi="Times New Roman" w:cs="Times New Roman"/>
          <w:b/>
          <w:sz w:val="23"/>
          <w:szCs w:val="23"/>
          <w:lang w:val="en-US"/>
        </w:rPr>
        <w:t>What formalities must shareholders’ agreements c</w:t>
      </w:r>
      <w:r w:rsidR="00F31F77">
        <w:rPr>
          <w:rFonts w:ascii="Times New Roman" w:hAnsi="Times New Roman" w:cs="Times New Roman"/>
          <w:b/>
          <w:sz w:val="23"/>
          <w:szCs w:val="23"/>
          <w:lang w:val="en-US"/>
        </w:rPr>
        <w:t>omply w</w:t>
      </w:r>
      <w:r w:rsidR="00751113" w:rsidRPr="00751113">
        <w:rPr>
          <w:rFonts w:ascii="Times New Roman" w:hAnsi="Times New Roman" w:cs="Times New Roman"/>
          <w:b/>
          <w:sz w:val="23"/>
          <w:szCs w:val="23"/>
          <w:lang w:val="en-US"/>
        </w:rPr>
        <w:t>ith in the United States?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Shareholders’ agreements are nothing other than private contracts. The United States has a strong history of upholding private contracts pursuant to the underlying principle of </w:t>
      </w:r>
      <w:proofErr w:type="gramStart"/>
      <w:r w:rsidRPr="00751113">
        <w:rPr>
          <w:rFonts w:ascii="Times New Roman" w:hAnsi="Times New Roman" w:cs="Times New Roman"/>
          <w:sz w:val="23"/>
          <w:szCs w:val="23"/>
          <w:lang w:val="en-US"/>
        </w:rPr>
        <w:t>freedom</w:t>
      </w:r>
      <w:proofErr w:type="gramEnd"/>
      <w:r w:rsidRPr="00751113">
        <w:rPr>
          <w:rFonts w:ascii="Times New Roman" w:hAnsi="Times New Roman" w:cs="Times New Roman"/>
          <w:sz w:val="23"/>
          <w:szCs w:val="23"/>
          <w:lang w:val="en-US"/>
        </w:rPr>
        <w:t xml:space="preserve"> of contract. No formalities apply to private contracts, unless they are contracts “under seal” (such as deeds and leases) which is not the case of shareholders’ agreements. </w:t>
      </w:r>
    </w:p>
    <w:p w:rsidR="00751113" w:rsidRPr="00751113" w:rsidRDefault="00751113" w:rsidP="00660318">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Nevertheless, to ensure the effectiveness of a contract, it is a common (and best) practice to require “execution and delivery” of the contract. </w:t>
      </w:r>
      <w:r w:rsidRPr="00751113">
        <w:rPr>
          <w:rFonts w:ascii="Times New Roman" w:hAnsi="Times New Roman" w:cs="Times New Roman"/>
          <w:iCs/>
          <w:sz w:val="23"/>
          <w:szCs w:val="23"/>
          <w:lang w:val="en-US"/>
        </w:rPr>
        <w:t>The phrase</w:t>
      </w:r>
      <w:r w:rsidRPr="00751113">
        <w:rPr>
          <w:rFonts w:ascii="Times New Roman" w:hAnsi="Times New Roman" w:cs="Times New Roman"/>
          <w:i/>
          <w:iCs/>
          <w:sz w:val="23"/>
          <w:szCs w:val="23"/>
          <w:lang w:val="en-US"/>
        </w:rPr>
        <w:t xml:space="preserve"> execution and delivery</w:t>
      </w:r>
      <w:r w:rsidRPr="00751113">
        <w:rPr>
          <w:rFonts w:ascii="Times New Roman" w:hAnsi="Times New Roman" w:cs="Times New Roman"/>
          <w:sz w:val="23"/>
          <w:szCs w:val="23"/>
          <w:lang w:val="en-US"/>
        </w:rPr>
        <w:t xml:space="preserve"> is a standard feature in U.S. contracts. The meaning of </w:t>
      </w:r>
      <w:r w:rsidRPr="00751113">
        <w:rPr>
          <w:rFonts w:ascii="Times New Roman" w:hAnsi="Times New Roman" w:cs="Times New Roman"/>
          <w:i/>
          <w:iCs/>
          <w:sz w:val="23"/>
          <w:szCs w:val="23"/>
          <w:lang w:val="en-US"/>
        </w:rPr>
        <w:t>execute</w:t>
      </w:r>
      <w:r w:rsidRPr="00751113">
        <w:rPr>
          <w:rFonts w:ascii="Times New Roman" w:hAnsi="Times New Roman" w:cs="Times New Roman"/>
          <w:sz w:val="23"/>
          <w:szCs w:val="23"/>
          <w:lang w:val="en-US"/>
        </w:rPr>
        <w:t xml:space="preserve"> is straightforward enough: a contract has been executed when it has been signed in the name of the party by someone who has authority to act on such party’s behalf. </w:t>
      </w:r>
      <w:proofErr w:type="gramStart"/>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Glazer and Fitzgibbon on Legal Opinions § 9.4 (2d ed. 2001).</w:t>
      </w:r>
      <w:proofErr w:type="gramEnd"/>
      <w:r w:rsidRPr="00751113">
        <w:rPr>
          <w:rFonts w:ascii="Times New Roman" w:hAnsi="Times New Roman" w:cs="Times New Roman"/>
          <w:sz w:val="23"/>
          <w:szCs w:val="23"/>
          <w:lang w:val="en-US"/>
        </w:rPr>
        <w:t xml:space="preserve"> The term</w:t>
      </w:r>
      <w:r w:rsidRPr="00751113">
        <w:rPr>
          <w:rFonts w:ascii="Times New Roman" w:hAnsi="Times New Roman" w:cs="Times New Roman"/>
          <w:i/>
          <w:sz w:val="23"/>
          <w:szCs w:val="23"/>
          <w:lang w:val="en-US"/>
        </w:rPr>
        <w:t xml:space="preserve"> delivery </w:t>
      </w:r>
      <w:r w:rsidRPr="00751113">
        <w:rPr>
          <w:rFonts w:ascii="Times New Roman" w:hAnsi="Times New Roman" w:cs="Times New Roman"/>
          <w:sz w:val="23"/>
          <w:szCs w:val="23"/>
          <w:lang w:val="en-US"/>
        </w:rPr>
        <w:t xml:space="preserve">requires that a signatory, having duly authorized and executed the contract, transfers possession of the same in a manner that under applicable law is sufficient to bring the contract into effect as a binding obligation of the parties. However, technically, formation of a contract (except again for those “under seal”), only requires an expression of assent in any form, not that the agreement be reduced to writing and much less that a writing be delivered. </w:t>
      </w:r>
      <w:proofErr w:type="gramStart"/>
      <w:r w:rsidRPr="00751113">
        <w:rPr>
          <w:rFonts w:ascii="Times New Roman" w:hAnsi="Times New Roman" w:cs="Times New Roman"/>
          <w:i/>
          <w:sz w:val="23"/>
          <w:szCs w:val="23"/>
          <w:lang w:val="en-US"/>
        </w:rPr>
        <w:t>Id</w:t>
      </w:r>
      <w:r w:rsidRPr="00751113">
        <w:rPr>
          <w:rFonts w:ascii="Times New Roman" w:hAnsi="Times New Roman" w:cs="Times New Roman"/>
          <w:sz w:val="23"/>
          <w:szCs w:val="23"/>
          <w:lang w:val="en-US"/>
        </w:rPr>
        <w:t>. § 9.5.</w:t>
      </w:r>
      <w:proofErr w:type="gramEnd"/>
      <w:r w:rsidRPr="00751113">
        <w:rPr>
          <w:rFonts w:ascii="Times New Roman" w:hAnsi="Times New Roman" w:cs="Times New Roman"/>
          <w:sz w:val="23"/>
          <w:szCs w:val="23"/>
          <w:lang w:val="en-US"/>
        </w:rPr>
        <w:t xml:space="preserve"> </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lastRenderedPageBreak/>
        <w:t>No notarization or filing of a shareholders’ agreement is required. Occasionally, the parties may agree to substantiate the authority of the signatories through a combination of an incumbency certificate (normally executed by the corporation’s secretary) and a legal opinion from each party’s counsel.</w:t>
      </w:r>
    </w:p>
    <w:p w:rsidR="00751113" w:rsidRPr="00751113" w:rsidRDefault="0043216C" w:rsidP="00751113">
      <w:pPr>
        <w:pStyle w:val="Prrafodelista"/>
        <w:numPr>
          <w:ilvl w:val="0"/>
          <w:numId w:val="1"/>
        </w:numPr>
        <w:jc w:val="both"/>
        <w:rPr>
          <w:rFonts w:ascii="Times New Roman" w:hAnsi="Times New Roman" w:cs="Times New Roman"/>
          <w:b/>
          <w:sz w:val="23"/>
          <w:szCs w:val="23"/>
          <w:lang w:val="en-US"/>
        </w:rPr>
      </w:pPr>
      <w:r>
        <w:rPr>
          <w:rFonts w:ascii="Times New Roman" w:hAnsi="Times New Roman" w:cs="Times New Roman"/>
          <w:b/>
          <w:sz w:val="23"/>
          <w:szCs w:val="23"/>
          <w:lang w:val="en-US"/>
        </w:rPr>
        <w:t>Can shareholders’ a</w:t>
      </w:r>
      <w:r w:rsidR="00751113" w:rsidRPr="00751113">
        <w:rPr>
          <w:rFonts w:ascii="Times New Roman" w:hAnsi="Times New Roman" w:cs="Times New Roman"/>
          <w:b/>
          <w:sz w:val="23"/>
          <w:szCs w:val="23"/>
          <w:lang w:val="en-US"/>
        </w:rPr>
        <w:t>greements be</w:t>
      </w:r>
      <w:r>
        <w:rPr>
          <w:rFonts w:ascii="Times New Roman" w:hAnsi="Times New Roman" w:cs="Times New Roman"/>
          <w:b/>
          <w:sz w:val="23"/>
          <w:szCs w:val="23"/>
          <w:lang w:val="en-US"/>
        </w:rPr>
        <w:t xml:space="preserve"> brought to bear against t</w:t>
      </w:r>
      <w:r w:rsidR="00751113" w:rsidRPr="00751113">
        <w:rPr>
          <w:rFonts w:ascii="Times New Roman" w:hAnsi="Times New Roman" w:cs="Times New Roman"/>
          <w:b/>
          <w:sz w:val="23"/>
          <w:szCs w:val="23"/>
          <w:lang w:val="en-US"/>
        </w:rPr>
        <w:t>hird</w:t>
      </w:r>
      <w:r>
        <w:rPr>
          <w:rFonts w:ascii="Times New Roman" w:hAnsi="Times New Roman" w:cs="Times New Roman"/>
          <w:b/>
          <w:sz w:val="23"/>
          <w:szCs w:val="23"/>
          <w:lang w:val="en-US"/>
        </w:rPr>
        <w:t xml:space="preserve"> parties such as purchasers of shares or s</w:t>
      </w:r>
      <w:r w:rsidR="00751113" w:rsidRPr="00751113">
        <w:rPr>
          <w:rFonts w:ascii="Times New Roman" w:hAnsi="Times New Roman" w:cs="Times New Roman"/>
          <w:b/>
          <w:sz w:val="23"/>
          <w:szCs w:val="23"/>
          <w:lang w:val="en-US"/>
        </w:rPr>
        <w:t>uccessors?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No. Shareholders’ agreements are binding only on the parties to the same. Third parties cannot be bound for lack of </w:t>
      </w:r>
      <w:proofErr w:type="spellStart"/>
      <w:r w:rsidRPr="00751113">
        <w:rPr>
          <w:rFonts w:ascii="Times New Roman" w:hAnsi="Times New Roman" w:cs="Times New Roman"/>
          <w:sz w:val="23"/>
          <w:szCs w:val="23"/>
          <w:lang w:val="en-US"/>
        </w:rPr>
        <w:t>privity</w:t>
      </w:r>
      <w:proofErr w:type="spellEnd"/>
      <w:r w:rsidRPr="00751113">
        <w:rPr>
          <w:rFonts w:ascii="Times New Roman" w:hAnsi="Times New Roman" w:cs="Times New Roman"/>
          <w:sz w:val="23"/>
          <w:szCs w:val="23"/>
          <w:lang w:val="en-US"/>
        </w:rPr>
        <w:t xml:space="preserve"> of contract. However,</w:t>
      </w:r>
      <w:r w:rsidRPr="00751113">
        <w:rPr>
          <w:rFonts w:ascii="Times New Roman" w:hAnsi="Times New Roman" w:cs="Times New Roman"/>
          <w:b/>
          <w:sz w:val="23"/>
          <w:szCs w:val="23"/>
          <w:lang w:val="en-US"/>
        </w:rPr>
        <w:t xml:space="preserve"> </w:t>
      </w:r>
      <w:r w:rsidRPr="00751113">
        <w:rPr>
          <w:rFonts w:ascii="Times New Roman" w:hAnsi="Times New Roman" w:cs="Times New Roman"/>
          <w:sz w:val="23"/>
          <w:szCs w:val="23"/>
          <w:lang w:val="en-US"/>
        </w:rPr>
        <w:t>shareholders’ agreements may bind successors in interest by operation of law or otherwise. As a result, shareholders’ agreements typically include provisions requiring, as a condition to any issuance of new shares or registration in the corporation’s share records of a transfer of shares, that the new shareholder or transferee execute a joinder to the shareholders’ agreement. They may also require that any certificate evidencing shares contain a legend advising of the existence of the shareholders’ agreement and of its binding effect on transferees.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Further, shareholders’ agreements can contain provisions having the practical effect of constraining or otherwise affecting the latitude that third parties have in dealings with the corporation or its shareholders (e.g. rights of first offer, first refusal or co-sale rights, or repurchase rights to prevent successors in interest from becoming shareholders).</w:t>
      </w:r>
    </w:p>
    <w:p w:rsidR="00751113" w:rsidRPr="00751113" w:rsidRDefault="0043216C" w:rsidP="00751113">
      <w:pPr>
        <w:pStyle w:val="Prrafodelista"/>
        <w:numPr>
          <w:ilvl w:val="0"/>
          <w:numId w:val="1"/>
        </w:numPr>
        <w:jc w:val="both"/>
        <w:rPr>
          <w:rFonts w:ascii="Times New Roman" w:hAnsi="Times New Roman" w:cs="Times New Roman"/>
          <w:b/>
          <w:sz w:val="23"/>
          <w:szCs w:val="23"/>
          <w:lang w:val="en-US"/>
        </w:rPr>
      </w:pPr>
      <w:r>
        <w:rPr>
          <w:rFonts w:ascii="Times New Roman" w:hAnsi="Times New Roman" w:cs="Times New Roman"/>
          <w:b/>
          <w:sz w:val="23"/>
          <w:szCs w:val="23"/>
          <w:lang w:val="en-US"/>
        </w:rPr>
        <w:t>Can a shareholders’ agreement regulate non-company c</w:t>
      </w:r>
      <w:r w:rsidR="00751113" w:rsidRPr="00751113">
        <w:rPr>
          <w:rFonts w:ascii="Times New Roman" w:hAnsi="Times New Roman" w:cs="Times New Roman"/>
          <w:b/>
          <w:sz w:val="23"/>
          <w:szCs w:val="23"/>
          <w:lang w:val="en-US"/>
        </w:rPr>
        <w:t>ontents?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Yes. There is no limitation to what the parties can agree to and/or address in a shareholders’ agreement. Commonly, shareholders’ agreements regulate matters relating to the governance and management of the corporation and the rights and obligations of shareholders vis-à-vis the corporation and the other shareholders. But since shareholders’ agreements are more flexible than bylaws, it is quite common to use them to regulate non-company matters. </w:t>
      </w:r>
    </w:p>
    <w:p w:rsidR="00751113" w:rsidRPr="00751113" w:rsidRDefault="0043216C" w:rsidP="00751113">
      <w:pPr>
        <w:pStyle w:val="Prrafodelista"/>
        <w:numPr>
          <w:ilvl w:val="0"/>
          <w:numId w:val="1"/>
        </w:numPr>
        <w:jc w:val="both"/>
        <w:rPr>
          <w:rFonts w:ascii="Times New Roman" w:hAnsi="Times New Roman" w:cs="Times New Roman"/>
          <w:b/>
          <w:sz w:val="23"/>
          <w:szCs w:val="23"/>
          <w:lang w:val="en-US"/>
        </w:rPr>
      </w:pPr>
      <w:r>
        <w:rPr>
          <w:rFonts w:ascii="Times New Roman" w:hAnsi="Times New Roman" w:cs="Times New Roman"/>
          <w:b/>
          <w:sz w:val="23"/>
          <w:szCs w:val="23"/>
          <w:lang w:val="en-US"/>
        </w:rPr>
        <w:t>Are there limits on the term of shareholders’ agreements u</w:t>
      </w:r>
      <w:r w:rsidR="00751113" w:rsidRPr="00751113">
        <w:rPr>
          <w:rFonts w:ascii="Times New Roman" w:hAnsi="Times New Roman" w:cs="Times New Roman"/>
          <w:b/>
          <w:sz w:val="23"/>
          <w:szCs w:val="23"/>
          <w:lang w:val="en-US"/>
        </w:rPr>
        <w:t xml:space="preserve">nder the </w:t>
      </w:r>
      <w:r w:rsidRPr="00751113">
        <w:rPr>
          <w:rFonts w:ascii="Times New Roman" w:hAnsi="Times New Roman" w:cs="Times New Roman"/>
          <w:b/>
          <w:sz w:val="23"/>
          <w:szCs w:val="23"/>
          <w:lang w:val="en-US"/>
        </w:rPr>
        <w:t>law</w:t>
      </w:r>
      <w:r w:rsidR="00751113" w:rsidRPr="00751113">
        <w:rPr>
          <w:rFonts w:ascii="Times New Roman" w:hAnsi="Times New Roman" w:cs="Times New Roman"/>
          <w:b/>
          <w:sz w:val="23"/>
          <w:szCs w:val="23"/>
          <w:lang w:val="en-US"/>
        </w:rPr>
        <w:t xml:space="preserve"> of the United States?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There is no statutory limit on the term of a shareholders’ agreement. However, most shareholders’ agreements provide for termination of the corporation upon the occurrence of certain events such as a public offering, sale, merger, or liquidation of the corporation.</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Are </w:t>
      </w:r>
      <w:r w:rsidR="0043216C" w:rsidRPr="00751113">
        <w:rPr>
          <w:rFonts w:ascii="Times New Roman" w:hAnsi="Times New Roman" w:cs="Times New Roman"/>
          <w:b/>
          <w:sz w:val="23"/>
          <w:szCs w:val="23"/>
          <w:lang w:val="en-US"/>
        </w:rPr>
        <w:t>shareholders’ agreements related</w:t>
      </w:r>
      <w:r w:rsidRPr="00751113">
        <w:rPr>
          <w:rFonts w:ascii="Times New Roman" w:hAnsi="Times New Roman" w:cs="Times New Roman"/>
          <w:b/>
          <w:sz w:val="23"/>
          <w:szCs w:val="23"/>
          <w:lang w:val="en-US"/>
        </w:rPr>
        <w:t xml:space="preserve"> to </w:t>
      </w:r>
      <w:r w:rsidR="0043216C" w:rsidRPr="00751113">
        <w:rPr>
          <w:rFonts w:ascii="Times New Roman" w:hAnsi="Times New Roman" w:cs="Times New Roman"/>
          <w:b/>
          <w:sz w:val="23"/>
          <w:szCs w:val="23"/>
          <w:lang w:val="en-US"/>
        </w:rPr>
        <w:t>actions by directors valid</w:t>
      </w:r>
      <w:r w:rsidRPr="00751113">
        <w:rPr>
          <w:rFonts w:ascii="Times New Roman" w:hAnsi="Times New Roman" w:cs="Times New Roman"/>
          <w:b/>
          <w:sz w:val="23"/>
          <w:szCs w:val="23"/>
          <w:lang w:val="en-US"/>
        </w:rPr>
        <w:t xml:space="preserve"> in the United States?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Yes. Most statutes, including those in New York, Delaware and Florida, require a corporation to have a board of directors to conduct and manage its business and affairs</w:t>
      </w:r>
      <w:r w:rsidR="00AC5D97">
        <w:rPr>
          <w:rFonts w:ascii="Times New Roman" w:hAnsi="Times New Roman" w:cs="Times New Roman"/>
          <w:sz w:val="23"/>
          <w:szCs w:val="23"/>
          <w:lang w:val="en-US"/>
        </w:rPr>
        <w:t xml:space="preserve">. Actually the </w:t>
      </w:r>
      <w:r w:rsidRPr="00AC5D97">
        <w:rPr>
          <w:rFonts w:ascii="Times New Roman" w:hAnsi="Times New Roman" w:cs="Times New Roman"/>
          <w:sz w:val="23"/>
          <w:szCs w:val="23"/>
          <w:lang w:val="en-US"/>
        </w:rPr>
        <w:t xml:space="preserve">board has </w:t>
      </w:r>
      <w:proofErr w:type="gramStart"/>
      <w:r w:rsidRPr="00AC5D97">
        <w:rPr>
          <w:rFonts w:ascii="Times New Roman" w:hAnsi="Times New Roman" w:cs="Times New Roman"/>
          <w:sz w:val="23"/>
          <w:szCs w:val="23"/>
          <w:lang w:val="en-US"/>
        </w:rPr>
        <w:t>a broad</w:t>
      </w:r>
      <w:proofErr w:type="gramEnd"/>
      <w:r w:rsidRPr="00AC5D97">
        <w:rPr>
          <w:rFonts w:ascii="Times New Roman" w:hAnsi="Times New Roman" w:cs="Times New Roman"/>
          <w:sz w:val="23"/>
          <w:szCs w:val="23"/>
          <w:lang w:val="en-US"/>
        </w:rPr>
        <w:t xml:space="preserve"> latitude to</w:t>
      </w:r>
      <w:r w:rsidRPr="00751113">
        <w:rPr>
          <w:rFonts w:ascii="Times New Roman" w:hAnsi="Times New Roman" w:cs="Times New Roman"/>
          <w:sz w:val="23"/>
          <w:szCs w:val="23"/>
          <w:lang w:val="en-US"/>
        </w:rPr>
        <w:t xml:space="preserve"> do so under those statutes. </w:t>
      </w:r>
      <w:r w:rsidRPr="00751113">
        <w:rPr>
          <w:rFonts w:ascii="Times New Roman" w:hAnsi="Times New Roman" w:cs="Times New Roman"/>
          <w:i/>
          <w:sz w:val="23"/>
          <w:szCs w:val="23"/>
          <w:lang w:val="en-US"/>
        </w:rPr>
        <w:t xml:space="preserve">See </w:t>
      </w:r>
      <w:r w:rsidRPr="00751113">
        <w:rPr>
          <w:rFonts w:ascii="Times New Roman" w:hAnsi="Times New Roman" w:cs="Times New Roman"/>
          <w:sz w:val="23"/>
          <w:szCs w:val="23"/>
          <w:lang w:val="en-US"/>
        </w:rPr>
        <w:t xml:space="preserve">N.Y. Bus. </w:t>
      </w:r>
      <w:proofErr w:type="gramStart"/>
      <w:r w:rsidRPr="00751113">
        <w:rPr>
          <w:rFonts w:ascii="Times New Roman" w:hAnsi="Times New Roman" w:cs="Times New Roman"/>
          <w:sz w:val="23"/>
          <w:szCs w:val="23"/>
          <w:lang w:val="en-US"/>
        </w:rPr>
        <w:t xml:space="preserve">Corp. Law, § 701, Del. Code Ann. Tit. 8, </w:t>
      </w:r>
      <w:bookmarkStart w:id="1" w:name="_Hlk515457057"/>
      <w:r w:rsidRPr="00751113">
        <w:rPr>
          <w:rFonts w:ascii="Times New Roman" w:hAnsi="Times New Roman" w:cs="Times New Roman"/>
          <w:sz w:val="23"/>
          <w:szCs w:val="23"/>
          <w:lang w:val="en-US"/>
        </w:rPr>
        <w:t>§</w:t>
      </w:r>
      <w:bookmarkEnd w:id="1"/>
      <w:r w:rsidRPr="00751113">
        <w:rPr>
          <w:rFonts w:ascii="Times New Roman" w:hAnsi="Times New Roman" w:cs="Times New Roman"/>
          <w:sz w:val="23"/>
          <w:szCs w:val="23"/>
          <w:lang w:val="en-US"/>
        </w:rPr>
        <w:t>141(a), and Fla. Stat. §607.080).</w:t>
      </w:r>
      <w:proofErr w:type="gramEnd"/>
      <w:r w:rsidRPr="00751113">
        <w:rPr>
          <w:rFonts w:ascii="Times New Roman" w:hAnsi="Times New Roman" w:cs="Times New Roman"/>
          <w:sz w:val="23"/>
          <w:szCs w:val="23"/>
          <w:lang w:val="en-US"/>
        </w:rPr>
        <w:t xml:space="preserve"> Thus, shareholders’ agreements are commonly used to restrict the decision-making powers of the board. Below are examples of such restrictions.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lastRenderedPageBreak/>
        <w:t xml:space="preserve">First, it is very common for shareholders’ agreements to establish a quorum requirement for board of directors’ meetings, but such requirement cannot be less than one third of the entire board of directors. </w:t>
      </w:r>
      <w:r w:rsidRPr="00751113">
        <w:rPr>
          <w:rFonts w:ascii="Times New Roman" w:hAnsi="Times New Roman" w:cs="Times New Roman"/>
          <w:i/>
          <w:sz w:val="23"/>
          <w:szCs w:val="23"/>
          <w:lang w:val="en-US"/>
        </w:rPr>
        <w:t xml:space="preserve">See e.g. </w:t>
      </w:r>
      <w:r w:rsidRPr="00751113">
        <w:rPr>
          <w:rFonts w:ascii="Times New Roman" w:hAnsi="Times New Roman" w:cs="Times New Roman"/>
          <w:sz w:val="23"/>
          <w:szCs w:val="23"/>
          <w:lang w:val="en-US"/>
        </w:rPr>
        <w:t xml:space="preserve">Del. Code Ann, Tit. 8, § 141(b); N.Y. Bus. </w:t>
      </w:r>
      <w:proofErr w:type="gramStart"/>
      <w:r w:rsidRPr="00751113">
        <w:rPr>
          <w:rFonts w:ascii="Times New Roman" w:hAnsi="Times New Roman" w:cs="Times New Roman"/>
          <w:sz w:val="23"/>
          <w:szCs w:val="23"/>
          <w:lang w:val="en-US"/>
        </w:rPr>
        <w:t>Corp. Law, §; and Fla. Stat. §607.0824.</w:t>
      </w:r>
      <w:proofErr w:type="gramEnd"/>
      <w:r w:rsidRPr="00751113">
        <w:rPr>
          <w:rFonts w:ascii="Times New Roman" w:hAnsi="Times New Roman" w:cs="Times New Roman"/>
          <w:sz w:val="23"/>
          <w:szCs w:val="23"/>
          <w:lang w:val="en-US"/>
        </w:rPr>
        <w:t xml:space="preserve"> In the absence of regulation, the quorum shall be understood to be the majority of the total number of directors in all New York, Florida, and Delaware. However, to be enforceable, a provision in a New York shareholders’ agreement increasing the quorum requirement above such majority of directors </w:t>
      </w:r>
      <w:r w:rsidRPr="00751113">
        <w:rPr>
          <w:rFonts w:ascii="Times New Roman" w:hAnsi="Times New Roman" w:cs="Times New Roman"/>
          <w:sz w:val="23"/>
          <w:szCs w:val="23"/>
          <w:u w:val="single"/>
          <w:lang w:val="en-US"/>
        </w:rPr>
        <w:t>must</w:t>
      </w:r>
      <w:r w:rsidRPr="00751113">
        <w:rPr>
          <w:rFonts w:ascii="Times New Roman" w:hAnsi="Times New Roman" w:cs="Times New Roman"/>
          <w:sz w:val="23"/>
          <w:szCs w:val="23"/>
          <w:lang w:val="en-US"/>
        </w:rPr>
        <w:t xml:space="preserve"> in addition be included in the certificate of incorporation, while a provision reducing such majority number </w:t>
      </w:r>
      <w:r w:rsidRPr="00751113">
        <w:rPr>
          <w:rFonts w:ascii="Times New Roman" w:hAnsi="Times New Roman" w:cs="Times New Roman"/>
          <w:sz w:val="23"/>
          <w:szCs w:val="23"/>
          <w:u w:val="single"/>
          <w:lang w:val="en-US"/>
        </w:rPr>
        <w:t>may</w:t>
      </w:r>
      <w:r w:rsidRPr="00751113">
        <w:rPr>
          <w:rFonts w:ascii="Times New Roman" w:hAnsi="Times New Roman" w:cs="Times New Roman"/>
          <w:sz w:val="23"/>
          <w:szCs w:val="23"/>
          <w:lang w:val="en-US"/>
        </w:rPr>
        <w:t xml:space="preserve"> be incorporated in the certificate of incorporation or the bylaws. For a Delaware shareholders’ agreement, a provision increasing the quorum requirement </w:t>
      </w:r>
      <w:r w:rsidRPr="00751113">
        <w:rPr>
          <w:rFonts w:ascii="Times New Roman" w:hAnsi="Times New Roman" w:cs="Times New Roman"/>
          <w:sz w:val="23"/>
          <w:szCs w:val="23"/>
          <w:u w:val="single"/>
          <w:lang w:val="en-US"/>
        </w:rPr>
        <w:t>may</w:t>
      </w:r>
      <w:r w:rsidRPr="00751113">
        <w:rPr>
          <w:rFonts w:ascii="Times New Roman" w:hAnsi="Times New Roman" w:cs="Times New Roman"/>
          <w:sz w:val="23"/>
          <w:szCs w:val="23"/>
          <w:lang w:val="en-US"/>
        </w:rPr>
        <w:t xml:space="preserve"> be included in the corporation’s certificate of incorporation or in the bylaws whereas a provision decreasing such requirement </w:t>
      </w:r>
      <w:r w:rsidRPr="00751113">
        <w:rPr>
          <w:rFonts w:ascii="Times New Roman" w:hAnsi="Times New Roman" w:cs="Times New Roman"/>
          <w:sz w:val="23"/>
          <w:szCs w:val="23"/>
          <w:u w:val="single"/>
          <w:lang w:val="en-US"/>
        </w:rPr>
        <w:t>may</w:t>
      </w:r>
      <w:r w:rsidRPr="00751113">
        <w:rPr>
          <w:rFonts w:ascii="Times New Roman" w:hAnsi="Times New Roman" w:cs="Times New Roman"/>
          <w:sz w:val="23"/>
          <w:szCs w:val="23"/>
          <w:lang w:val="en-US"/>
        </w:rPr>
        <w:t xml:space="preserve"> be also included in the bylaws unless the certificate of incorporation provide otherwise. </w:t>
      </w:r>
      <w:r w:rsidRPr="00751113">
        <w:rPr>
          <w:rFonts w:ascii="Times New Roman" w:hAnsi="Times New Roman" w:cs="Times New Roman"/>
          <w:i/>
          <w:sz w:val="23"/>
          <w:szCs w:val="23"/>
          <w:lang w:val="en-US"/>
        </w:rPr>
        <w:t xml:space="preserve">See </w:t>
      </w:r>
      <w:r w:rsidRPr="00751113">
        <w:rPr>
          <w:rFonts w:ascii="Times New Roman" w:hAnsi="Times New Roman" w:cs="Times New Roman"/>
          <w:sz w:val="23"/>
          <w:szCs w:val="23"/>
          <w:lang w:val="en-US"/>
        </w:rPr>
        <w:t xml:space="preserve">Del. Code Ann, Tit. 8, § 141(b) and N.Y. Bus. </w:t>
      </w:r>
      <w:proofErr w:type="gramStart"/>
      <w:r w:rsidRPr="00751113">
        <w:rPr>
          <w:rFonts w:ascii="Times New Roman" w:hAnsi="Times New Roman" w:cs="Times New Roman"/>
          <w:sz w:val="23"/>
          <w:szCs w:val="23"/>
          <w:lang w:val="en-US"/>
        </w:rPr>
        <w:t>Corp. Law, §707.</w:t>
      </w:r>
      <w:proofErr w:type="gramEnd"/>
      <w:r w:rsidRPr="00751113">
        <w:rPr>
          <w:rFonts w:ascii="Times New Roman" w:hAnsi="Times New Roman" w:cs="Times New Roman"/>
          <w:sz w:val="23"/>
          <w:szCs w:val="23"/>
          <w:lang w:val="en-US"/>
        </w:rPr>
        <w:t xml:space="preserve"> Common practice is however, to include such quorum requirements in the shareholders’ agreement only, unless otherwise mandated by applicable law.</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Second, shareholders’ agreements may limit the powers of the board of directors or reserve some of them, even when under most </w:t>
      </w:r>
      <w:proofErr w:type="gramStart"/>
      <w:r w:rsidRPr="00751113">
        <w:rPr>
          <w:rFonts w:ascii="Times New Roman" w:hAnsi="Times New Roman" w:cs="Times New Roman"/>
          <w:sz w:val="23"/>
          <w:szCs w:val="23"/>
          <w:lang w:val="en-US"/>
        </w:rPr>
        <w:t>statutes,</w:t>
      </w:r>
      <w:proofErr w:type="gramEnd"/>
      <w:r w:rsidRPr="00751113">
        <w:rPr>
          <w:rFonts w:ascii="Times New Roman" w:hAnsi="Times New Roman" w:cs="Times New Roman"/>
          <w:sz w:val="23"/>
          <w:szCs w:val="23"/>
          <w:lang w:val="en-US"/>
        </w:rPr>
        <w:t xml:space="preserve"> the directors have broad powers and discretion to manage the business of the corporation within the framework of the corporation’s certificate of incorporation and/or bylaws. However, because those limitations may be inconsistent with applicable law, it is advisable to explicitly include them in the certificate of incorporation or in the bylaws. </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Finally, shareholders’ agreements may require each shareholder to cause its designated director to vote as directed by such shareholder with regard to certain matters. However, this provision may not be enforceable because directors owe a fiduciary duty to the corporation and may decide that the vote he/she is required to cast is not in the best interest of the corporation. This is a reason why it is common for shareholders to include in the certificate of incorporation a list of actions that cannot be adopted but with the approval of the shareholders, as in principle a shareholder owes no fiduciary duty to the corporation.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 xml:space="preserve">Ivanhoe Partners v. Newmont Mining Corp., </w:t>
      </w:r>
      <w:r w:rsidRPr="00751113">
        <w:rPr>
          <w:rFonts w:ascii="Times New Roman" w:hAnsi="Times New Roman" w:cs="Times New Roman"/>
          <w:sz w:val="23"/>
          <w:szCs w:val="23"/>
          <w:lang w:val="en-US"/>
        </w:rPr>
        <w:t>535 A. 2d 1334, 1344 (Del. 1987). However, a minority of cases have provided that a controlling shareholder owes a fiduciary duty not only to the corporation but also to minority shareholders.</w:t>
      </w:r>
    </w:p>
    <w:p w:rsidR="00751113" w:rsidRPr="00751113" w:rsidRDefault="0043216C"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D</w:t>
      </w:r>
      <w:r>
        <w:rPr>
          <w:rFonts w:ascii="Times New Roman" w:hAnsi="Times New Roman" w:cs="Times New Roman"/>
          <w:b/>
          <w:sz w:val="23"/>
          <w:szCs w:val="23"/>
          <w:lang w:val="en-US"/>
        </w:rPr>
        <w:t>oes the law of the United S</w:t>
      </w:r>
      <w:r w:rsidRPr="00751113">
        <w:rPr>
          <w:rFonts w:ascii="Times New Roman" w:hAnsi="Times New Roman" w:cs="Times New Roman"/>
          <w:b/>
          <w:sz w:val="23"/>
          <w:szCs w:val="23"/>
          <w:lang w:val="en-US"/>
        </w:rPr>
        <w:t>tates permit restrictions on transfer of shares</w:t>
      </w:r>
      <w:r w:rsidR="00751113"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Yes, but subject to certain requirements and limitations. First, restrictions must be in writing although not necessarily in a shareholders’ agreement.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Del. Code Ann., Tit. 8, §202 and Fla. Stat. §607.0627. In New York, the writing requirement is not found in the NYBCL but in case law.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proofErr w:type="spellStart"/>
      <w:r w:rsidRPr="00751113">
        <w:rPr>
          <w:rFonts w:ascii="Times New Roman" w:hAnsi="Times New Roman" w:cs="Times New Roman"/>
          <w:i/>
          <w:sz w:val="23"/>
          <w:szCs w:val="23"/>
          <w:lang w:val="en-US"/>
        </w:rPr>
        <w:t>Rafe</w:t>
      </w:r>
      <w:proofErr w:type="spellEnd"/>
      <w:r w:rsidRPr="00751113">
        <w:rPr>
          <w:rFonts w:ascii="Times New Roman" w:hAnsi="Times New Roman" w:cs="Times New Roman"/>
          <w:i/>
          <w:sz w:val="23"/>
          <w:szCs w:val="23"/>
          <w:lang w:val="en-US"/>
        </w:rPr>
        <w:t xml:space="preserve"> v. </w:t>
      </w:r>
      <w:proofErr w:type="spellStart"/>
      <w:r w:rsidRPr="00751113">
        <w:rPr>
          <w:rFonts w:ascii="Times New Roman" w:hAnsi="Times New Roman" w:cs="Times New Roman"/>
          <w:i/>
          <w:sz w:val="23"/>
          <w:szCs w:val="23"/>
          <w:lang w:val="en-US"/>
        </w:rPr>
        <w:t>Hindin</w:t>
      </w:r>
      <w:proofErr w:type="spellEnd"/>
      <w:r w:rsidRPr="00751113">
        <w:rPr>
          <w:rFonts w:ascii="Times New Roman" w:hAnsi="Times New Roman" w:cs="Times New Roman"/>
          <w:sz w:val="23"/>
          <w:szCs w:val="23"/>
          <w:lang w:val="en-US"/>
        </w:rPr>
        <w:t>, 288, N.Y.S. 2d 662, 663-664 (App. Div.).</w:t>
      </w:r>
      <w:r w:rsidRPr="00751113">
        <w:rPr>
          <w:rFonts w:ascii="Times New Roman" w:hAnsi="Times New Roman" w:cs="Times New Roman"/>
          <w:i/>
          <w:sz w:val="23"/>
          <w:szCs w:val="23"/>
          <w:lang w:val="en-US"/>
        </w:rPr>
        <w:t xml:space="preserve"> </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Second, for the restriction to be effective, it must be known by the purchaser unless it has been conspicuously noted in the share certificates, as per §8-204 of the Uniform Commercial Code, which has been adopted in all Delaware, New York and Florida. Indeed, Delaware confirmed this requirement in §202(a) of the DGCL, New York in §622(c) of the NYBCL, and Florida in Fla. Stat. §607.0627(2).</w:t>
      </w:r>
      <w:r w:rsidRPr="00751113">
        <w:rPr>
          <w:rFonts w:ascii="Times New Roman" w:hAnsi="Times New Roman" w:cs="Times New Roman"/>
          <w:b/>
          <w:sz w:val="23"/>
          <w:szCs w:val="23"/>
          <w:lang w:val="en-US"/>
        </w:rPr>
        <w:t xml:space="preserve"> </w:t>
      </w:r>
      <w:r w:rsidRPr="00751113">
        <w:rPr>
          <w:rFonts w:ascii="Times New Roman" w:hAnsi="Times New Roman" w:cs="Times New Roman"/>
          <w:sz w:val="23"/>
          <w:szCs w:val="23"/>
          <w:lang w:val="en-US"/>
        </w:rPr>
        <w:t>Thus, a transfer of shares to a bona fide purchase with no knowledge of the restriction will be valid and enforceable.</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lastRenderedPageBreak/>
        <w:t>Finally, in Delaware, the restriction “</w:t>
      </w:r>
      <w:r w:rsidRPr="00751113">
        <w:rPr>
          <w:rFonts w:ascii="Times New Roman" w:hAnsi="Times New Roman" w:cs="Times New Roman"/>
          <w:i/>
          <w:sz w:val="23"/>
          <w:szCs w:val="23"/>
          <w:lang w:val="en-US"/>
        </w:rPr>
        <w:t>may be used to further reasonable corporate purposes</w:t>
      </w:r>
      <w:r w:rsidRPr="00751113">
        <w:rPr>
          <w:rFonts w:ascii="Times New Roman" w:hAnsi="Times New Roman" w:cs="Times New Roman"/>
          <w:sz w:val="23"/>
          <w:szCs w:val="23"/>
          <w:lang w:val="en-US"/>
        </w:rPr>
        <w:t xml:space="preserve">” only.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§202(c) of the DGCL. In New York, the standard is similar in that a transfer restriction is enforceable if it “</w:t>
      </w:r>
      <w:r w:rsidRPr="00751113">
        <w:rPr>
          <w:rFonts w:ascii="Times New Roman" w:hAnsi="Times New Roman" w:cs="Times New Roman"/>
          <w:i/>
          <w:sz w:val="23"/>
          <w:szCs w:val="23"/>
          <w:lang w:val="en-US"/>
        </w:rPr>
        <w:t>effectuates a lawful purpose, is reasonable, and is in accord with public policy.</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Benson v. RMJ Sec. Corp</w:t>
      </w:r>
      <w:r w:rsidRPr="00751113">
        <w:rPr>
          <w:rFonts w:ascii="Times New Roman" w:hAnsi="Times New Roman" w:cs="Times New Roman"/>
          <w:sz w:val="23"/>
          <w:szCs w:val="23"/>
          <w:lang w:val="en-US"/>
        </w:rPr>
        <w:t xml:space="preserve">., 683 F. Supp. 359, 371 (S.D.N.Y. 1988). Delaware has identified five categories of restrictions which it considers permissible.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§202(c) of the DGCL. New York does not have such a list. Thus, for restrictions not included in the Delaware list and for any restrictions in general, Delaware and New York courts use a “rule of reason” approach to determine whether a transfer restriction is enforceable. Generally, Courts will strike down a share transfer restriction which may amount to a prohibition to transfer even if partially. For instance, a restriction which applies for an indefinite period of time (such as a call option that may be exercised indefinitely for a fixed price) or that prohibits the transfer to a specific person has been condemned.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proofErr w:type="spellStart"/>
      <w:r w:rsidRPr="00751113">
        <w:rPr>
          <w:rFonts w:ascii="Times New Roman" w:hAnsi="Times New Roman" w:cs="Times New Roman"/>
          <w:i/>
          <w:sz w:val="23"/>
          <w:szCs w:val="23"/>
          <w:lang w:val="en-US"/>
        </w:rPr>
        <w:t>Rafe</w:t>
      </w:r>
      <w:proofErr w:type="spellEnd"/>
      <w:r w:rsidRPr="00751113">
        <w:rPr>
          <w:rFonts w:ascii="Times New Roman" w:hAnsi="Times New Roman" w:cs="Times New Roman"/>
          <w:i/>
          <w:sz w:val="23"/>
          <w:szCs w:val="23"/>
          <w:lang w:val="en-US"/>
        </w:rPr>
        <w:t xml:space="preserve"> v. </w:t>
      </w:r>
      <w:proofErr w:type="spellStart"/>
      <w:r w:rsidRPr="00751113">
        <w:rPr>
          <w:rFonts w:ascii="Times New Roman" w:hAnsi="Times New Roman" w:cs="Times New Roman"/>
          <w:i/>
          <w:sz w:val="23"/>
          <w:szCs w:val="23"/>
          <w:lang w:val="en-US"/>
        </w:rPr>
        <w:t>Hindin</w:t>
      </w:r>
      <w:proofErr w:type="spellEnd"/>
      <w:r w:rsidRPr="00751113">
        <w:rPr>
          <w:rFonts w:ascii="Times New Roman" w:hAnsi="Times New Roman" w:cs="Times New Roman"/>
          <w:sz w:val="23"/>
          <w:szCs w:val="23"/>
          <w:lang w:val="en-US"/>
        </w:rPr>
        <w:t>, 288, N.Y.S. 2d 662, 666 (App. Div.).</w:t>
      </w:r>
      <w:r w:rsidRPr="00751113">
        <w:rPr>
          <w:rFonts w:ascii="Times New Roman" w:hAnsi="Times New Roman" w:cs="Times New Roman"/>
          <w:i/>
          <w:sz w:val="23"/>
          <w:szCs w:val="23"/>
          <w:lang w:val="en-US"/>
        </w:rPr>
        <w:t xml:space="preserve"> </w:t>
      </w:r>
      <w:r w:rsidRPr="00751113">
        <w:rPr>
          <w:rFonts w:ascii="Times New Roman" w:hAnsi="Times New Roman" w:cs="Times New Roman"/>
          <w:sz w:val="23"/>
          <w:szCs w:val="23"/>
          <w:lang w:val="en-US"/>
        </w:rPr>
        <w:t xml:space="preserve">A restriction requiring the consent of the corporation or other shareholders for a transfer of shares to be </w:t>
      </w:r>
      <w:proofErr w:type="gramStart"/>
      <w:r w:rsidRPr="00751113">
        <w:rPr>
          <w:rFonts w:ascii="Times New Roman" w:hAnsi="Times New Roman" w:cs="Times New Roman"/>
          <w:sz w:val="23"/>
          <w:szCs w:val="23"/>
          <w:lang w:val="en-US"/>
        </w:rPr>
        <w:t>valid,</w:t>
      </w:r>
      <w:proofErr w:type="gramEnd"/>
      <w:r w:rsidRPr="00751113">
        <w:rPr>
          <w:rFonts w:ascii="Times New Roman" w:hAnsi="Times New Roman" w:cs="Times New Roman"/>
          <w:sz w:val="23"/>
          <w:szCs w:val="23"/>
          <w:lang w:val="en-US"/>
        </w:rPr>
        <w:t xml:space="preserve"> is acceptable but such consent must not be discretionary, i.e. must not be unreasonably withheld. </w:t>
      </w:r>
      <w:r w:rsidRPr="00751113">
        <w:rPr>
          <w:rFonts w:ascii="Times New Roman" w:hAnsi="Times New Roman" w:cs="Times New Roman"/>
          <w:i/>
          <w:sz w:val="23"/>
          <w:szCs w:val="23"/>
          <w:lang w:val="en-US"/>
        </w:rPr>
        <w:t>Id.</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What </w:t>
      </w:r>
      <w:r w:rsidR="0043216C" w:rsidRPr="00751113">
        <w:rPr>
          <w:rFonts w:ascii="Times New Roman" w:hAnsi="Times New Roman" w:cs="Times New Roman"/>
          <w:b/>
          <w:sz w:val="23"/>
          <w:szCs w:val="23"/>
          <w:lang w:val="en-US"/>
        </w:rPr>
        <w:t xml:space="preserve">mechanisms </w:t>
      </w:r>
      <w:proofErr w:type="gramStart"/>
      <w:r w:rsidR="0043216C" w:rsidRPr="00751113">
        <w:rPr>
          <w:rFonts w:ascii="Times New Roman" w:hAnsi="Times New Roman" w:cs="Times New Roman"/>
          <w:b/>
          <w:sz w:val="23"/>
          <w:szCs w:val="23"/>
          <w:lang w:val="en-US"/>
        </w:rPr>
        <w:t>does the laws</w:t>
      </w:r>
      <w:proofErr w:type="gramEnd"/>
      <w:r w:rsidR="0043216C" w:rsidRPr="00751113">
        <w:rPr>
          <w:rFonts w:ascii="Times New Roman" w:hAnsi="Times New Roman" w:cs="Times New Roman"/>
          <w:b/>
          <w:sz w:val="23"/>
          <w:szCs w:val="23"/>
          <w:lang w:val="en-US"/>
        </w:rPr>
        <w:t xml:space="preserve"> of the </w:t>
      </w:r>
      <w:r w:rsidRPr="00751113">
        <w:rPr>
          <w:rFonts w:ascii="Times New Roman" w:hAnsi="Times New Roman" w:cs="Times New Roman"/>
          <w:b/>
          <w:sz w:val="23"/>
          <w:szCs w:val="23"/>
          <w:lang w:val="en-US"/>
        </w:rPr>
        <w:t xml:space="preserve">United States </w:t>
      </w:r>
      <w:r w:rsidR="0043216C" w:rsidRPr="00751113">
        <w:rPr>
          <w:rFonts w:ascii="Times New Roman" w:hAnsi="Times New Roman" w:cs="Times New Roman"/>
          <w:b/>
          <w:sz w:val="23"/>
          <w:szCs w:val="23"/>
          <w:lang w:val="en-US"/>
        </w:rPr>
        <w:t>permit for regulating share transfers</w:t>
      </w:r>
      <w:r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In addition to restrictions involving the non-discretionary approval of the corporation or the other shareholders, common restrictions include preemptive rights, rights of first refusal/offer, tag/drag along rights, piggy back rights. Forced transfers may be </w:t>
      </w:r>
      <w:proofErr w:type="gramStart"/>
      <w:r w:rsidRPr="00751113">
        <w:rPr>
          <w:rFonts w:ascii="Times New Roman" w:hAnsi="Times New Roman" w:cs="Times New Roman"/>
          <w:sz w:val="23"/>
          <w:szCs w:val="23"/>
          <w:lang w:val="en-US"/>
        </w:rPr>
        <w:t>effected</w:t>
      </w:r>
      <w:proofErr w:type="gramEnd"/>
      <w:r w:rsidRPr="00751113">
        <w:rPr>
          <w:rFonts w:ascii="Times New Roman" w:hAnsi="Times New Roman" w:cs="Times New Roman"/>
          <w:sz w:val="23"/>
          <w:szCs w:val="23"/>
          <w:lang w:val="en-US"/>
        </w:rPr>
        <w:t xml:space="preserve"> through call/put options, shot gun, Russian roulette and other mechanisms. Mandated repurchases by the corporation or the other shareholders in several circumstances, such as in the case of insolvency or death of a shareholder, are also acceptable.</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In the United States do </w:t>
      </w:r>
      <w:r w:rsidR="0043216C" w:rsidRPr="00751113">
        <w:rPr>
          <w:rFonts w:ascii="Times New Roman" w:hAnsi="Times New Roman" w:cs="Times New Roman"/>
          <w:b/>
          <w:sz w:val="23"/>
          <w:szCs w:val="23"/>
          <w:lang w:val="en-US"/>
        </w:rPr>
        <w:t>by-laws tend to be tailor-drafted, or do they tend to use standard formats</w:t>
      </w:r>
      <w:r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They tend to be quite standard and regulate mostly procedural matters. Detailed, tailored provisions are normally set forth in the shareholders’ agreement, precisely because bylaws are general or categorical and do not refer to named persons.</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What are the </w:t>
      </w:r>
      <w:r w:rsidR="0043216C" w:rsidRPr="00751113">
        <w:rPr>
          <w:rFonts w:ascii="Times New Roman" w:hAnsi="Times New Roman" w:cs="Times New Roman"/>
          <w:b/>
          <w:sz w:val="23"/>
          <w:szCs w:val="23"/>
          <w:lang w:val="en-US"/>
        </w:rPr>
        <w:t>motives</w:t>
      </w:r>
      <w:r w:rsidRPr="00751113">
        <w:rPr>
          <w:rFonts w:ascii="Times New Roman" w:hAnsi="Times New Roman" w:cs="Times New Roman"/>
          <w:b/>
          <w:sz w:val="23"/>
          <w:szCs w:val="23"/>
          <w:lang w:val="en-US"/>
        </w:rPr>
        <w:t xml:space="preserve"> in United States for </w:t>
      </w:r>
      <w:r w:rsidR="0043216C" w:rsidRPr="00751113">
        <w:rPr>
          <w:rFonts w:ascii="Times New Roman" w:hAnsi="Times New Roman" w:cs="Times New Roman"/>
          <w:b/>
          <w:sz w:val="23"/>
          <w:szCs w:val="23"/>
          <w:lang w:val="en-US"/>
        </w:rPr>
        <w:t>executing shareholders’ agreements</w:t>
      </w:r>
      <w:r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As indicated in question 9 above, shareholders’ agreements allow more detailed and “personalized” regulation of the agreements of shareholders on governance and other matters. Again, freedom of contract is the principle that governs shareholders’ agreements. </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What </w:t>
      </w:r>
      <w:r w:rsidR="0043216C" w:rsidRPr="00751113">
        <w:rPr>
          <w:rFonts w:ascii="Times New Roman" w:hAnsi="Times New Roman" w:cs="Times New Roman"/>
          <w:b/>
          <w:sz w:val="23"/>
          <w:szCs w:val="23"/>
          <w:lang w:val="en-US"/>
        </w:rPr>
        <w:t xml:space="preserve">contents tend to be included in shareholders’ agreements </w:t>
      </w:r>
      <w:r w:rsidRPr="00751113">
        <w:rPr>
          <w:rFonts w:ascii="Times New Roman" w:hAnsi="Times New Roman" w:cs="Times New Roman"/>
          <w:b/>
          <w:sz w:val="23"/>
          <w:szCs w:val="23"/>
          <w:lang w:val="en-US"/>
        </w:rPr>
        <w:t>in United States?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Normally, the parties’ agreements on governance, and their rights and obligations in connection with the equity interests but may include any content of a lawful nature.</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What </w:t>
      </w:r>
      <w:r w:rsidR="0043216C" w:rsidRPr="00751113">
        <w:rPr>
          <w:rFonts w:ascii="Times New Roman" w:hAnsi="Times New Roman" w:cs="Times New Roman"/>
          <w:b/>
          <w:sz w:val="23"/>
          <w:szCs w:val="23"/>
          <w:lang w:val="en-US"/>
        </w:rPr>
        <w:t xml:space="preserve">determines the content included in shareholders’ agreements </w:t>
      </w:r>
      <w:r w:rsidRPr="00751113">
        <w:rPr>
          <w:rFonts w:ascii="Times New Roman" w:hAnsi="Times New Roman" w:cs="Times New Roman"/>
          <w:b/>
          <w:sz w:val="23"/>
          <w:szCs w:val="23"/>
          <w:lang w:val="en-US"/>
        </w:rPr>
        <w:t>in United States?</w:t>
      </w:r>
    </w:p>
    <w:p w:rsidR="00751113" w:rsidRPr="00751113" w:rsidRDefault="00751113" w:rsidP="00751113">
      <w:pPr>
        <w:jc w:val="both"/>
        <w:rPr>
          <w:rFonts w:ascii="Times New Roman" w:hAnsi="Times New Roman" w:cs="Times New Roman"/>
          <w:sz w:val="23"/>
          <w:szCs w:val="23"/>
          <w:lang w:val="en-US"/>
        </w:rPr>
      </w:pPr>
      <w:r w:rsidRPr="00AC5D97">
        <w:rPr>
          <w:rFonts w:ascii="Times New Roman" w:hAnsi="Times New Roman" w:cs="Times New Roman"/>
          <w:sz w:val="23"/>
          <w:szCs w:val="23"/>
          <w:lang w:val="en-US"/>
        </w:rPr>
        <w:t xml:space="preserve">Only </w:t>
      </w:r>
      <w:r w:rsidR="00AC5D97" w:rsidRPr="00AC5D97">
        <w:rPr>
          <w:rFonts w:ascii="Times New Roman" w:hAnsi="Times New Roman" w:cs="Times New Roman"/>
          <w:sz w:val="23"/>
          <w:szCs w:val="23"/>
          <w:lang w:val="en-US"/>
        </w:rPr>
        <w:t>those matters that</w:t>
      </w:r>
      <w:r w:rsidRPr="00AC5D97">
        <w:rPr>
          <w:rFonts w:ascii="Times New Roman" w:hAnsi="Times New Roman" w:cs="Times New Roman"/>
          <w:sz w:val="23"/>
          <w:szCs w:val="23"/>
          <w:lang w:val="en-US"/>
        </w:rPr>
        <w:t xml:space="preserve"> the parties wish to </w:t>
      </w:r>
      <w:r w:rsidR="00AC5D97" w:rsidRPr="00AC5D97">
        <w:rPr>
          <w:rFonts w:ascii="Times New Roman" w:hAnsi="Times New Roman" w:cs="Times New Roman"/>
          <w:sz w:val="23"/>
          <w:szCs w:val="23"/>
          <w:lang w:val="en-US"/>
        </w:rPr>
        <w:t xml:space="preserve">regulate </w:t>
      </w:r>
      <w:r w:rsidRPr="00AC5D97">
        <w:rPr>
          <w:rFonts w:ascii="Times New Roman" w:hAnsi="Times New Roman" w:cs="Times New Roman"/>
          <w:sz w:val="23"/>
          <w:szCs w:val="23"/>
          <w:lang w:val="en-US"/>
        </w:rPr>
        <w:t>as to the corporation and their respective rights and obligations with regard to the same, including commercial matters not strictly related to the corporation. Generally, there is limited statutory regulation of shareholders’ agreement, Delaware being perhaps the exception.</w:t>
      </w:r>
      <w:bookmarkStart w:id="2" w:name="_GoBack"/>
      <w:bookmarkEnd w:id="2"/>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What are the most common types of clauses in shareholders’ agreements in United States?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governing</w:t>
      </w:r>
      <w:proofErr w:type="gramEnd"/>
      <w:r w:rsidRPr="00751113">
        <w:rPr>
          <w:rFonts w:ascii="Times New Roman" w:hAnsi="Times New Roman" w:cs="Times New Roman"/>
          <w:sz w:val="23"/>
          <w:szCs w:val="23"/>
          <w:lang w:val="en-US"/>
        </w:rPr>
        <w:t xml:space="preserve"> body and management system;</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(ii)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election</w:t>
      </w:r>
      <w:proofErr w:type="gramEnd"/>
      <w:r w:rsidRPr="00751113">
        <w:rPr>
          <w:rFonts w:ascii="Times New Roman" w:hAnsi="Times New Roman" w:cs="Times New Roman"/>
          <w:sz w:val="23"/>
          <w:szCs w:val="23"/>
          <w:lang w:val="en-US"/>
        </w:rPr>
        <w:t xml:space="preserve"> and removal of directors/managers and officers;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(iii)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quorum</w:t>
      </w:r>
      <w:proofErr w:type="gramEnd"/>
      <w:r w:rsidRPr="00751113">
        <w:rPr>
          <w:rFonts w:ascii="Times New Roman" w:hAnsi="Times New Roman" w:cs="Times New Roman"/>
          <w:sz w:val="23"/>
          <w:szCs w:val="23"/>
          <w:lang w:val="en-US"/>
        </w:rPr>
        <w:t xml:space="preserve"> and voting requirements for shareholders’ resolutions;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 (iv)</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quorum</w:t>
      </w:r>
      <w:proofErr w:type="gramEnd"/>
      <w:r w:rsidRPr="00751113">
        <w:rPr>
          <w:rFonts w:ascii="Times New Roman" w:hAnsi="Times New Roman" w:cs="Times New Roman"/>
          <w:sz w:val="23"/>
          <w:szCs w:val="23"/>
          <w:lang w:val="en-US"/>
        </w:rPr>
        <w:t xml:space="preserve"> and voting requirements for directors’ resolutions;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(v)</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voting</w:t>
      </w:r>
      <w:proofErr w:type="gramEnd"/>
      <w:r w:rsidRPr="00751113">
        <w:rPr>
          <w:rFonts w:ascii="Times New Roman" w:hAnsi="Times New Roman" w:cs="Times New Roman"/>
          <w:sz w:val="23"/>
          <w:szCs w:val="23"/>
          <w:lang w:val="en-US"/>
        </w:rPr>
        <w:t xml:space="preserve"> agreements;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(vi)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restrictions</w:t>
      </w:r>
      <w:proofErr w:type="gramEnd"/>
      <w:r w:rsidRPr="00751113">
        <w:rPr>
          <w:rFonts w:ascii="Times New Roman" w:hAnsi="Times New Roman" w:cs="Times New Roman"/>
          <w:sz w:val="23"/>
          <w:szCs w:val="23"/>
          <w:lang w:val="en-US"/>
        </w:rPr>
        <w:t>, rights and obligations regarding share transfers;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(vii)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capital</w:t>
      </w:r>
      <w:proofErr w:type="gramEnd"/>
      <w:r w:rsidRPr="00751113">
        <w:rPr>
          <w:rFonts w:ascii="Times New Roman" w:hAnsi="Times New Roman" w:cs="Times New Roman"/>
          <w:sz w:val="23"/>
          <w:szCs w:val="23"/>
          <w:lang w:val="en-US"/>
        </w:rPr>
        <w:t xml:space="preserve"> calls and equity contributions;</w:t>
      </w:r>
    </w:p>
    <w:p w:rsidR="00751113" w:rsidRPr="00AC5D97" w:rsidRDefault="00751113" w:rsidP="00751113">
      <w:pPr>
        <w:ind w:left="720"/>
        <w:jc w:val="both"/>
        <w:rPr>
          <w:rFonts w:ascii="Times New Roman" w:hAnsi="Times New Roman" w:cs="Times New Roman"/>
          <w:sz w:val="23"/>
          <w:szCs w:val="23"/>
          <w:lang w:val="fr-FR"/>
        </w:rPr>
      </w:pPr>
      <w:r w:rsidRPr="00AC5D97">
        <w:rPr>
          <w:rFonts w:ascii="Times New Roman" w:hAnsi="Times New Roman" w:cs="Times New Roman"/>
          <w:sz w:val="23"/>
          <w:szCs w:val="23"/>
          <w:lang w:val="fr-FR"/>
        </w:rPr>
        <w:t>(viii)</w:t>
      </w:r>
      <w:r w:rsidRPr="00AC5D97">
        <w:rPr>
          <w:rFonts w:ascii="Times New Roman" w:hAnsi="Times New Roman" w:cs="Times New Roman"/>
          <w:sz w:val="23"/>
          <w:szCs w:val="23"/>
          <w:lang w:val="fr-FR"/>
        </w:rPr>
        <w:tab/>
        <w:t>non-</w:t>
      </w:r>
      <w:proofErr w:type="spellStart"/>
      <w:r w:rsidRPr="00AC5D97">
        <w:rPr>
          <w:rFonts w:ascii="Times New Roman" w:hAnsi="Times New Roman" w:cs="Times New Roman"/>
          <w:sz w:val="23"/>
          <w:szCs w:val="23"/>
          <w:lang w:val="fr-FR"/>
        </w:rPr>
        <w:t>compete</w:t>
      </w:r>
      <w:proofErr w:type="spellEnd"/>
      <w:r w:rsidRPr="00AC5D97">
        <w:rPr>
          <w:rFonts w:ascii="Times New Roman" w:hAnsi="Times New Roman" w:cs="Times New Roman"/>
          <w:sz w:val="23"/>
          <w:szCs w:val="23"/>
          <w:lang w:val="fr-FR"/>
        </w:rPr>
        <w:t>/non-</w:t>
      </w:r>
      <w:proofErr w:type="spellStart"/>
      <w:r w:rsidRPr="00AC5D97">
        <w:rPr>
          <w:rFonts w:ascii="Times New Roman" w:hAnsi="Times New Roman" w:cs="Times New Roman"/>
          <w:sz w:val="23"/>
          <w:szCs w:val="23"/>
          <w:lang w:val="fr-FR"/>
        </w:rPr>
        <w:t>solicitation</w:t>
      </w:r>
      <w:proofErr w:type="spellEnd"/>
      <w:r w:rsidRPr="00AC5D97">
        <w:rPr>
          <w:rFonts w:ascii="Times New Roman" w:hAnsi="Times New Roman" w:cs="Times New Roman"/>
          <w:sz w:val="23"/>
          <w:szCs w:val="23"/>
          <w:lang w:val="fr-FR"/>
        </w:rPr>
        <w:t xml:space="preserve"> covenants;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(ix)</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confidentiality</w:t>
      </w:r>
      <w:proofErr w:type="gramEnd"/>
      <w:r w:rsidRPr="00751113">
        <w:rPr>
          <w:rFonts w:ascii="Times New Roman" w:hAnsi="Times New Roman" w:cs="Times New Roman"/>
          <w:sz w:val="23"/>
          <w:szCs w:val="23"/>
          <w:lang w:val="en-US"/>
        </w:rPr>
        <w:t>;</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(x)</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inspection</w:t>
      </w:r>
      <w:proofErr w:type="gramEnd"/>
      <w:r w:rsidRPr="00751113">
        <w:rPr>
          <w:rFonts w:ascii="Times New Roman" w:hAnsi="Times New Roman" w:cs="Times New Roman"/>
          <w:sz w:val="23"/>
          <w:szCs w:val="23"/>
          <w:lang w:val="en-US"/>
        </w:rPr>
        <w:t xml:space="preserve"> and information rights;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(xi)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reporting</w:t>
      </w:r>
      <w:proofErr w:type="gramEnd"/>
      <w:r w:rsidRPr="00751113">
        <w:rPr>
          <w:rFonts w:ascii="Times New Roman" w:hAnsi="Times New Roman" w:cs="Times New Roman"/>
          <w:sz w:val="23"/>
          <w:szCs w:val="23"/>
          <w:lang w:val="en-US"/>
        </w:rPr>
        <w:t xml:space="preserve"> obligations;</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(xii)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dispute</w:t>
      </w:r>
      <w:proofErr w:type="gramEnd"/>
      <w:r w:rsidRPr="00751113">
        <w:rPr>
          <w:rFonts w:ascii="Times New Roman" w:hAnsi="Times New Roman" w:cs="Times New Roman"/>
          <w:sz w:val="23"/>
          <w:szCs w:val="23"/>
          <w:lang w:val="en-US"/>
        </w:rPr>
        <w:t xml:space="preserve"> resolution;</w:t>
      </w:r>
    </w:p>
    <w:p w:rsidR="00751113" w:rsidRPr="00751113" w:rsidRDefault="00751113" w:rsidP="00751113">
      <w:pPr>
        <w:ind w:left="720"/>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(xiii)</w:t>
      </w:r>
      <w:r w:rsidRPr="00751113">
        <w:rPr>
          <w:rFonts w:ascii="Times New Roman" w:hAnsi="Times New Roman" w:cs="Times New Roman"/>
          <w:sz w:val="23"/>
          <w:szCs w:val="23"/>
          <w:lang w:val="en-US"/>
        </w:rPr>
        <w:tab/>
      </w:r>
      <w:proofErr w:type="gramStart"/>
      <w:r w:rsidRPr="00751113">
        <w:rPr>
          <w:rFonts w:ascii="Times New Roman" w:hAnsi="Times New Roman" w:cs="Times New Roman"/>
          <w:sz w:val="23"/>
          <w:szCs w:val="23"/>
          <w:lang w:val="en-US"/>
        </w:rPr>
        <w:t>termination</w:t>
      </w:r>
      <w:proofErr w:type="gramEnd"/>
      <w:r w:rsidRPr="00751113">
        <w:rPr>
          <w:rFonts w:ascii="Times New Roman" w:hAnsi="Times New Roman" w:cs="Times New Roman"/>
          <w:sz w:val="23"/>
          <w:szCs w:val="23"/>
          <w:lang w:val="en-US"/>
        </w:rPr>
        <w:t xml:space="preserve"> and dissolution;</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What </w:t>
      </w:r>
      <w:r w:rsidR="0043216C" w:rsidRPr="00751113">
        <w:rPr>
          <w:rFonts w:ascii="Times New Roman" w:hAnsi="Times New Roman" w:cs="Times New Roman"/>
          <w:b/>
          <w:sz w:val="23"/>
          <w:szCs w:val="23"/>
          <w:lang w:val="en-US"/>
        </w:rPr>
        <w:t>mechanisms does the law of the</w:t>
      </w:r>
      <w:r w:rsidRPr="00751113">
        <w:rPr>
          <w:rFonts w:ascii="Times New Roman" w:hAnsi="Times New Roman" w:cs="Times New Roman"/>
          <w:b/>
          <w:sz w:val="23"/>
          <w:szCs w:val="23"/>
          <w:lang w:val="en-US"/>
        </w:rPr>
        <w:t xml:space="preserve"> United States </w:t>
      </w:r>
      <w:r w:rsidR="0043216C" w:rsidRPr="00751113">
        <w:rPr>
          <w:rFonts w:ascii="Times New Roman" w:hAnsi="Times New Roman" w:cs="Times New Roman"/>
          <w:b/>
          <w:sz w:val="23"/>
          <w:szCs w:val="23"/>
          <w:lang w:val="en-US"/>
        </w:rPr>
        <w:t>permit to ensure participation of minorities on the board of directors and its control</w:t>
      </w:r>
      <w:r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Virtually every jurisdiction in the United States provides some rights to minority shareholders, other than the right to vote. Such rights are mostly limited to information and inspection rights, which are normally restricted to information reasonably related to the shareholder’s equity ownership and business affairs of the corporation.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Del. Code Ann., Tit. 8, §220 (2001 &amp; Supp. 2008) and N.Y. Bus. </w:t>
      </w:r>
      <w:proofErr w:type="gramStart"/>
      <w:r w:rsidRPr="00751113">
        <w:rPr>
          <w:rFonts w:ascii="Times New Roman" w:hAnsi="Times New Roman" w:cs="Times New Roman"/>
          <w:sz w:val="23"/>
          <w:szCs w:val="23"/>
          <w:lang w:val="en-US"/>
        </w:rPr>
        <w:t>Corp. Law §624.</w:t>
      </w:r>
      <w:proofErr w:type="gramEnd"/>
      <w:r w:rsidRPr="00751113">
        <w:rPr>
          <w:rFonts w:ascii="Times New Roman" w:hAnsi="Times New Roman" w:cs="Times New Roman"/>
          <w:sz w:val="23"/>
          <w:szCs w:val="23"/>
          <w:lang w:val="en-US"/>
        </w:rPr>
        <w:t xml:space="preserve"> Proper purposes for a shareholder inspection/information demand include: (i) determining the corporation’s financial position, (ii) investigating corporate mismanagement, and (iii) ascertaining the propriety of a dividend distribution. </w:t>
      </w:r>
      <w:proofErr w:type="spellStart"/>
      <w:proofErr w:type="gramStart"/>
      <w:r w:rsidRPr="00751113">
        <w:rPr>
          <w:rFonts w:ascii="Times New Roman" w:hAnsi="Times New Roman" w:cs="Times New Roman"/>
          <w:i/>
          <w:iCs/>
          <w:sz w:val="23"/>
          <w:szCs w:val="23"/>
          <w:lang w:val="en-US"/>
        </w:rPr>
        <w:t>Tatko</w:t>
      </w:r>
      <w:proofErr w:type="spellEnd"/>
      <w:r w:rsidRPr="00751113">
        <w:rPr>
          <w:rFonts w:ascii="Times New Roman" w:hAnsi="Times New Roman" w:cs="Times New Roman"/>
          <w:i/>
          <w:iCs/>
          <w:sz w:val="23"/>
          <w:szCs w:val="23"/>
          <w:lang w:val="en-US"/>
        </w:rPr>
        <w:t xml:space="preserve"> v. </w:t>
      </w:r>
      <w:proofErr w:type="spellStart"/>
      <w:r w:rsidRPr="00751113">
        <w:rPr>
          <w:rFonts w:ascii="Times New Roman" w:hAnsi="Times New Roman" w:cs="Times New Roman"/>
          <w:i/>
          <w:iCs/>
          <w:sz w:val="23"/>
          <w:szCs w:val="23"/>
          <w:lang w:val="en-US"/>
        </w:rPr>
        <w:t>Tatko</w:t>
      </w:r>
      <w:proofErr w:type="spellEnd"/>
      <w:r w:rsidRPr="00751113">
        <w:rPr>
          <w:rFonts w:ascii="Times New Roman" w:hAnsi="Times New Roman" w:cs="Times New Roman"/>
          <w:i/>
          <w:iCs/>
          <w:sz w:val="23"/>
          <w:szCs w:val="23"/>
          <w:lang w:val="en-US"/>
        </w:rPr>
        <w:t xml:space="preserve"> Bros. Slate Co.</w:t>
      </w:r>
      <w:r w:rsidRPr="00751113">
        <w:rPr>
          <w:rFonts w:ascii="Times New Roman" w:hAnsi="Times New Roman" w:cs="Times New Roman"/>
          <w:sz w:val="23"/>
          <w:szCs w:val="23"/>
          <w:lang w:val="en-US"/>
        </w:rPr>
        <w:t>, 569 N.Y.S.2d 783, 784 (N.Y. App. Div. 1991).</w:t>
      </w:r>
      <w:proofErr w:type="gramEnd"/>
      <w:r w:rsidRPr="00751113">
        <w:rPr>
          <w:rFonts w:ascii="Times New Roman" w:hAnsi="Times New Roman" w:cs="Times New Roman"/>
          <w:sz w:val="23"/>
          <w:szCs w:val="23"/>
          <w:lang w:val="en-US"/>
        </w:rPr>
        <w:t xml:space="preserve"> However, any agreement permitting the participation in or the control of the board of directors by minority shareholders would be acceptable, whether stated in a shareholders’ agreement, the bylaws, or even in the certificate of incorporation (by requiring for instance a larger quorum or voting requirement to elect board members). </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Is it </w:t>
      </w:r>
      <w:r w:rsidR="0043216C" w:rsidRPr="00751113">
        <w:rPr>
          <w:rFonts w:ascii="Times New Roman" w:hAnsi="Times New Roman" w:cs="Times New Roman"/>
          <w:b/>
          <w:sz w:val="23"/>
          <w:szCs w:val="23"/>
          <w:lang w:val="en-US"/>
        </w:rPr>
        <w:t xml:space="preserve">possible in the </w:t>
      </w:r>
      <w:r w:rsidRPr="00751113">
        <w:rPr>
          <w:rFonts w:ascii="Times New Roman" w:hAnsi="Times New Roman" w:cs="Times New Roman"/>
          <w:b/>
          <w:sz w:val="23"/>
          <w:szCs w:val="23"/>
          <w:lang w:val="en-US"/>
        </w:rPr>
        <w:t xml:space="preserve">United States to </w:t>
      </w:r>
      <w:r w:rsidR="0043216C" w:rsidRPr="00751113">
        <w:rPr>
          <w:rFonts w:ascii="Times New Roman" w:hAnsi="Times New Roman" w:cs="Times New Roman"/>
          <w:b/>
          <w:sz w:val="23"/>
          <w:szCs w:val="23"/>
          <w:lang w:val="en-US"/>
        </w:rPr>
        <w:t>ensure minority shareholder control by means of a shareholders’ agreement</w:t>
      </w:r>
      <w:r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Yes, as indicated in the previous answer. </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What are the </w:t>
      </w:r>
      <w:r w:rsidR="0043216C" w:rsidRPr="00751113">
        <w:rPr>
          <w:rFonts w:ascii="Times New Roman" w:hAnsi="Times New Roman" w:cs="Times New Roman"/>
          <w:b/>
          <w:sz w:val="23"/>
          <w:szCs w:val="23"/>
          <w:lang w:val="en-US"/>
        </w:rPr>
        <w:t>usual valuation mechanisms in connection with rights of first refusal or share transfer regulations</w:t>
      </w:r>
      <w:r w:rsidRPr="00751113">
        <w:rPr>
          <w:rFonts w:ascii="Times New Roman" w:hAnsi="Times New Roman" w:cs="Times New Roman"/>
          <w:b/>
          <w:sz w:val="23"/>
          <w:szCs w:val="23"/>
          <w:lang w:val="en-US"/>
        </w:rPr>
        <w:t>?</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Commonly, the parties agree on an evaluation criteria (for instance, x times the corporation’s EBITDA) or leave to a third party the determination of the corporation’s fair market value.</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Is </w:t>
      </w:r>
      <w:r w:rsidR="0043216C" w:rsidRPr="00751113">
        <w:rPr>
          <w:rFonts w:ascii="Times New Roman" w:hAnsi="Times New Roman" w:cs="Times New Roman"/>
          <w:b/>
          <w:sz w:val="23"/>
          <w:szCs w:val="23"/>
          <w:lang w:val="en-US"/>
        </w:rPr>
        <w:t>it admissible for a shareholders’ agreement clause to refer dispute resolution to the courts other than those of the</w:t>
      </w:r>
      <w:r w:rsidRPr="00751113">
        <w:rPr>
          <w:rFonts w:ascii="Times New Roman" w:hAnsi="Times New Roman" w:cs="Times New Roman"/>
          <w:b/>
          <w:sz w:val="23"/>
          <w:szCs w:val="23"/>
          <w:lang w:val="en-US"/>
        </w:rPr>
        <w:t xml:space="preserve"> United States and/or </w:t>
      </w:r>
      <w:r w:rsidR="0043216C" w:rsidRPr="00751113">
        <w:rPr>
          <w:rFonts w:ascii="Times New Roman" w:hAnsi="Times New Roman" w:cs="Times New Roman"/>
          <w:b/>
          <w:sz w:val="23"/>
          <w:szCs w:val="23"/>
          <w:lang w:val="en-US"/>
        </w:rPr>
        <w:t xml:space="preserve">under a law other than that of the </w:t>
      </w:r>
      <w:r w:rsidRPr="00751113">
        <w:rPr>
          <w:rFonts w:ascii="Times New Roman" w:hAnsi="Times New Roman" w:cs="Times New Roman"/>
          <w:b/>
          <w:sz w:val="23"/>
          <w:szCs w:val="23"/>
          <w:lang w:val="en-US"/>
        </w:rPr>
        <w:t>United States?</w:t>
      </w:r>
    </w:p>
    <w:p w:rsidR="00751113" w:rsidRPr="00751113" w:rsidRDefault="00751113" w:rsidP="00BD3097">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New York explicitly regulates and allows the selection of a forum other than the one in the jurisdiction in which the corporation is organized. Thus, New York General Obligations Law (§5-1402) considers forum selection clauses “</w:t>
      </w:r>
      <w:r w:rsidRPr="00751113">
        <w:rPr>
          <w:rFonts w:ascii="Times New Roman" w:hAnsi="Times New Roman" w:cs="Times New Roman"/>
          <w:i/>
          <w:sz w:val="23"/>
          <w:szCs w:val="23"/>
          <w:lang w:val="en-US"/>
        </w:rPr>
        <w:t>prima facie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valid</w:t>
      </w:r>
      <w:r w:rsidRPr="00751113">
        <w:rPr>
          <w:rFonts w:ascii="Times New Roman" w:hAnsi="Times New Roman" w:cs="Times New Roman"/>
          <w:sz w:val="23"/>
          <w:szCs w:val="23"/>
          <w:lang w:val="en-US"/>
        </w:rPr>
        <w:t>” and will enforce them unless “</w:t>
      </w:r>
      <w:r w:rsidRPr="00751113">
        <w:rPr>
          <w:rFonts w:ascii="Times New Roman" w:hAnsi="Times New Roman" w:cs="Times New Roman"/>
          <w:i/>
          <w:sz w:val="23"/>
          <w:szCs w:val="23"/>
          <w:lang w:val="en-US"/>
        </w:rPr>
        <w:t>unreasonable or unjust… such that a trial in the contractual forum would be … difficult and inconvenient</w:t>
      </w:r>
      <w:r w:rsidRPr="00751113">
        <w:rPr>
          <w:rFonts w:ascii="Times New Roman" w:hAnsi="Times New Roman" w:cs="Times New Roman"/>
          <w:sz w:val="23"/>
          <w:szCs w:val="23"/>
          <w:lang w:val="en-US"/>
        </w:rPr>
        <w:t xml:space="preserve">” to the claimant.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 xml:space="preserve">Harry Casper, Inc. v. Pines </w:t>
      </w:r>
      <w:proofErr w:type="gramStart"/>
      <w:r w:rsidRPr="00751113">
        <w:rPr>
          <w:rFonts w:ascii="Times New Roman" w:hAnsi="Times New Roman" w:cs="Times New Roman"/>
          <w:i/>
          <w:sz w:val="23"/>
          <w:szCs w:val="23"/>
          <w:lang w:val="en-US"/>
        </w:rPr>
        <w:t>Assocs</w:t>
      </w:r>
      <w:r w:rsidRPr="00751113">
        <w:rPr>
          <w:rFonts w:ascii="Times New Roman" w:hAnsi="Times New Roman" w:cs="Times New Roman"/>
          <w:sz w:val="23"/>
          <w:szCs w:val="23"/>
          <w:lang w:val="en-US"/>
        </w:rPr>
        <w:t>.,</w:t>
      </w:r>
      <w:proofErr w:type="gramEnd"/>
      <w:r w:rsidRPr="00751113">
        <w:rPr>
          <w:rFonts w:ascii="Times New Roman" w:hAnsi="Times New Roman" w:cs="Times New Roman"/>
          <w:sz w:val="23"/>
          <w:szCs w:val="23"/>
          <w:lang w:val="en-US"/>
        </w:rPr>
        <w:t xml:space="preserve"> L.P., 861 N.Y.S. 2d 820, 821 (App. Div. 2008). In contrast, Delaware does not have a similar statute but reaches the same conclusion than New York in that the selection of a foreign forum is “</w:t>
      </w:r>
      <w:r w:rsidRPr="00751113">
        <w:rPr>
          <w:rFonts w:ascii="Times New Roman" w:hAnsi="Times New Roman" w:cs="Times New Roman"/>
          <w:i/>
          <w:sz w:val="23"/>
          <w:szCs w:val="23"/>
          <w:lang w:val="en-US"/>
        </w:rPr>
        <w:t>prima facie valid</w:t>
      </w:r>
      <w:r w:rsidRPr="00751113">
        <w:rPr>
          <w:rFonts w:ascii="Times New Roman" w:hAnsi="Times New Roman" w:cs="Times New Roman"/>
          <w:sz w:val="23"/>
          <w:szCs w:val="23"/>
          <w:lang w:val="en-US"/>
        </w:rPr>
        <w:t>” unless “</w:t>
      </w:r>
      <w:r w:rsidRPr="00751113">
        <w:rPr>
          <w:rFonts w:ascii="Times New Roman" w:hAnsi="Times New Roman" w:cs="Times New Roman"/>
          <w:i/>
          <w:sz w:val="23"/>
          <w:szCs w:val="23"/>
          <w:lang w:val="en-US"/>
        </w:rPr>
        <w:t>unreasonable under the circumstances</w:t>
      </w:r>
      <w:r w:rsidRPr="00751113">
        <w:rPr>
          <w:rFonts w:ascii="Times New Roman" w:hAnsi="Times New Roman" w:cs="Times New Roman"/>
          <w:sz w:val="23"/>
          <w:szCs w:val="23"/>
          <w:lang w:val="en-US"/>
        </w:rPr>
        <w:t xml:space="preserve">” or fraudulent.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proofErr w:type="spellStart"/>
      <w:r w:rsidRPr="00751113">
        <w:rPr>
          <w:rFonts w:ascii="Times New Roman" w:hAnsi="Times New Roman" w:cs="Times New Roman"/>
          <w:i/>
          <w:sz w:val="23"/>
          <w:szCs w:val="23"/>
          <w:lang w:val="en-US"/>
        </w:rPr>
        <w:t>Aveta</w:t>
      </w:r>
      <w:proofErr w:type="spellEnd"/>
      <w:r w:rsidRPr="00751113">
        <w:rPr>
          <w:rFonts w:ascii="Times New Roman" w:hAnsi="Times New Roman" w:cs="Times New Roman"/>
          <w:i/>
          <w:sz w:val="23"/>
          <w:szCs w:val="23"/>
          <w:lang w:val="en-US"/>
        </w:rPr>
        <w:t>, Inc. v. Colon</w:t>
      </w:r>
      <w:r w:rsidRPr="00751113">
        <w:rPr>
          <w:rFonts w:ascii="Times New Roman" w:hAnsi="Times New Roman" w:cs="Times New Roman"/>
          <w:sz w:val="23"/>
          <w:szCs w:val="23"/>
          <w:lang w:val="en-US"/>
        </w:rPr>
        <w:t xml:space="preserve">, 942 A.2d 603, </w:t>
      </w:r>
      <w:proofErr w:type="gramStart"/>
      <w:r w:rsidRPr="00751113">
        <w:rPr>
          <w:rFonts w:ascii="Times New Roman" w:hAnsi="Times New Roman" w:cs="Times New Roman"/>
          <w:sz w:val="23"/>
          <w:szCs w:val="23"/>
          <w:lang w:val="en-US"/>
        </w:rPr>
        <w:t>608 n.7 (Del. Ch. 2008)</w:t>
      </w:r>
      <w:proofErr w:type="gramEnd"/>
      <w:r w:rsidRPr="00751113">
        <w:rPr>
          <w:rFonts w:ascii="Times New Roman" w:hAnsi="Times New Roman" w:cs="Times New Roman"/>
          <w:sz w:val="23"/>
          <w:szCs w:val="23"/>
          <w:lang w:val="en-US"/>
        </w:rPr>
        <w:t xml:space="preserve">. Similarly, forum-selection clauses are generally enforceable in Florida. The only exception is still when the forum is inadequate such as, for example, when the forum’s laws are inconsistent with Florida public policy, or when the forum fails to accord litigants with fundamental, constitutional due process rights. </w:t>
      </w:r>
      <w:r w:rsidRPr="00751113">
        <w:rPr>
          <w:rFonts w:ascii="Times New Roman" w:hAnsi="Times New Roman" w:cs="Times New Roman"/>
          <w:i/>
          <w:sz w:val="23"/>
          <w:szCs w:val="23"/>
          <w:lang w:val="en-US"/>
        </w:rPr>
        <w:t>See Q</w:t>
      </w:r>
      <w:r w:rsidRPr="00751113">
        <w:rPr>
          <w:rFonts w:ascii="Times New Roman" w:hAnsi="Times New Roman" w:cs="Times New Roman"/>
          <w:i/>
          <w:iCs/>
          <w:sz w:val="23"/>
          <w:szCs w:val="23"/>
          <w:lang w:val="en-US"/>
        </w:rPr>
        <w:t xml:space="preserve">uick Cash, LLC v. </w:t>
      </w:r>
      <w:proofErr w:type="spellStart"/>
      <w:r w:rsidRPr="00751113">
        <w:rPr>
          <w:rFonts w:ascii="Times New Roman" w:hAnsi="Times New Roman" w:cs="Times New Roman"/>
          <w:i/>
          <w:iCs/>
          <w:sz w:val="23"/>
          <w:szCs w:val="23"/>
          <w:lang w:val="en-US"/>
        </w:rPr>
        <w:t>Tradenet</w:t>
      </w:r>
      <w:proofErr w:type="spellEnd"/>
      <w:r w:rsidRPr="00751113">
        <w:rPr>
          <w:rFonts w:ascii="Times New Roman" w:hAnsi="Times New Roman" w:cs="Times New Roman"/>
          <w:i/>
          <w:iCs/>
          <w:sz w:val="23"/>
          <w:szCs w:val="23"/>
          <w:lang w:val="en-US"/>
        </w:rPr>
        <w:t xml:space="preserve"> Enterprise, Inc.</w:t>
      </w:r>
      <w:r w:rsidRPr="00751113">
        <w:rPr>
          <w:rFonts w:ascii="Times New Roman" w:hAnsi="Times New Roman" w:cs="Times New Roman"/>
          <w:sz w:val="23"/>
          <w:szCs w:val="23"/>
          <w:lang w:val="en-US"/>
        </w:rPr>
        <w:t>, No. 3D16-1640 (3d DCA 2017).</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A shareholders’ agreement may also be governed by a law other than the law of the forum. The standards are lightly different in New York and Delaware and also depend on whether the chosen law is the law of another state or a foreign law. In Delaware, the choice of the law of another state must “</w:t>
      </w:r>
      <w:r w:rsidRPr="00751113">
        <w:rPr>
          <w:rFonts w:ascii="Times New Roman" w:hAnsi="Times New Roman" w:cs="Times New Roman"/>
          <w:i/>
          <w:sz w:val="23"/>
          <w:szCs w:val="23"/>
          <w:lang w:val="en-US"/>
        </w:rPr>
        <w:t>bear some material relationship to the transaction</w:t>
      </w:r>
      <w:r w:rsidRPr="00751113">
        <w:rPr>
          <w:rFonts w:ascii="Times New Roman" w:hAnsi="Times New Roman" w:cs="Times New Roman"/>
          <w:sz w:val="23"/>
          <w:szCs w:val="23"/>
          <w:lang w:val="en-US"/>
        </w:rPr>
        <w:t xml:space="preserve">” to be enforceable.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proofErr w:type="spellStart"/>
      <w:r w:rsidRPr="00751113">
        <w:rPr>
          <w:rFonts w:ascii="Times New Roman" w:hAnsi="Times New Roman" w:cs="Times New Roman"/>
          <w:i/>
          <w:sz w:val="23"/>
          <w:szCs w:val="23"/>
          <w:lang w:val="en-US"/>
        </w:rPr>
        <w:t>Pharmatene</w:t>
      </w:r>
      <w:proofErr w:type="spellEnd"/>
      <w:r w:rsidRPr="00751113">
        <w:rPr>
          <w:rFonts w:ascii="Times New Roman" w:hAnsi="Times New Roman" w:cs="Times New Roman"/>
          <w:i/>
          <w:sz w:val="23"/>
          <w:szCs w:val="23"/>
          <w:lang w:val="en-US"/>
        </w:rPr>
        <w:t xml:space="preserve">, Inc. v. </w:t>
      </w:r>
      <w:proofErr w:type="spellStart"/>
      <w:r w:rsidRPr="00751113">
        <w:rPr>
          <w:rFonts w:ascii="Times New Roman" w:hAnsi="Times New Roman" w:cs="Times New Roman"/>
          <w:i/>
          <w:sz w:val="23"/>
          <w:szCs w:val="23"/>
          <w:lang w:val="en-US"/>
        </w:rPr>
        <w:t>Siga</w:t>
      </w:r>
      <w:proofErr w:type="spellEnd"/>
      <w:r w:rsidRPr="00751113">
        <w:rPr>
          <w:rFonts w:ascii="Times New Roman" w:hAnsi="Times New Roman" w:cs="Times New Roman"/>
          <w:i/>
          <w:sz w:val="23"/>
          <w:szCs w:val="23"/>
          <w:lang w:val="en-US"/>
        </w:rPr>
        <w:t xml:space="preserve"> Techs, Inc.</w:t>
      </w:r>
      <w:r w:rsidRPr="00751113">
        <w:rPr>
          <w:rFonts w:ascii="Times New Roman" w:hAnsi="Times New Roman" w:cs="Times New Roman"/>
          <w:sz w:val="23"/>
          <w:szCs w:val="23"/>
          <w:lang w:val="en-US"/>
        </w:rPr>
        <w:t>, No. 2627-VCP, 2008 WL 151855, at *7 (Del. Ch. Jan 16, 2008). However, if the law chosen is that of a foreign jurisdiction, Delaware will not enforce such law “</w:t>
      </w:r>
      <w:r w:rsidRPr="00751113">
        <w:rPr>
          <w:rFonts w:ascii="Times New Roman" w:hAnsi="Times New Roman" w:cs="Times New Roman"/>
          <w:i/>
          <w:sz w:val="23"/>
          <w:szCs w:val="23"/>
          <w:lang w:val="en-US"/>
        </w:rPr>
        <w:t>in a manner repugnant to the public policy of Delaware.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 xml:space="preserve">J.S. </w:t>
      </w:r>
      <w:proofErr w:type="spellStart"/>
      <w:r w:rsidRPr="00751113">
        <w:rPr>
          <w:rFonts w:ascii="Times New Roman" w:hAnsi="Times New Roman" w:cs="Times New Roman"/>
          <w:i/>
          <w:sz w:val="23"/>
          <w:szCs w:val="23"/>
          <w:lang w:val="en-US"/>
        </w:rPr>
        <w:t>Alberici</w:t>
      </w:r>
      <w:proofErr w:type="spellEnd"/>
      <w:r w:rsidRPr="00751113">
        <w:rPr>
          <w:rFonts w:ascii="Times New Roman" w:hAnsi="Times New Roman" w:cs="Times New Roman"/>
          <w:i/>
          <w:sz w:val="23"/>
          <w:szCs w:val="23"/>
          <w:lang w:val="en-US"/>
        </w:rPr>
        <w:t xml:space="preserve"> Constr. Co. v Mid-West Conveyor Co.</w:t>
      </w:r>
      <w:r w:rsidRPr="00751113">
        <w:rPr>
          <w:rFonts w:ascii="Times New Roman" w:hAnsi="Times New Roman" w:cs="Times New Roman"/>
          <w:sz w:val="23"/>
          <w:szCs w:val="23"/>
          <w:lang w:val="en-US"/>
        </w:rPr>
        <w:t>, 750 A.2d 518, 520 (Del. 2000). In New York, the choice of another state’s law will be upheld if such law bears “</w:t>
      </w:r>
      <w:r w:rsidRPr="00751113">
        <w:rPr>
          <w:rFonts w:ascii="Times New Roman" w:hAnsi="Times New Roman" w:cs="Times New Roman"/>
          <w:i/>
          <w:sz w:val="23"/>
          <w:szCs w:val="23"/>
          <w:lang w:val="en-US"/>
        </w:rPr>
        <w:t>a reasonable relationship to the parties or the transaction.</w:t>
      </w:r>
      <w:r w:rsidRPr="00751113">
        <w:rPr>
          <w:rFonts w:ascii="Times New Roman" w:hAnsi="Times New Roman" w:cs="Times New Roman"/>
          <w:sz w:val="23"/>
          <w:szCs w:val="23"/>
          <w:lang w:val="en-US"/>
        </w:rPr>
        <w:t xml:space="preserve">” </w:t>
      </w:r>
      <w:proofErr w:type="gramStart"/>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proofErr w:type="spellStart"/>
      <w:r w:rsidRPr="00751113">
        <w:rPr>
          <w:rFonts w:ascii="Times New Roman" w:hAnsi="Times New Roman" w:cs="Times New Roman"/>
          <w:i/>
          <w:sz w:val="23"/>
          <w:szCs w:val="23"/>
          <w:lang w:val="en-US"/>
        </w:rPr>
        <w:t>Welsbach</w:t>
      </w:r>
      <w:proofErr w:type="spellEnd"/>
      <w:r w:rsidRPr="00751113">
        <w:rPr>
          <w:rFonts w:ascii="Times New Roman" w:hAnsi="Times New Roman" w:cs="Times New Roman"/>
          <w:i/>
          <w:sz w:val="23"/>
          <w:szCs w:val="23"/>
          <w:lang w:val="en-US"/>
        </w:rPr>
        <w:t xml:space="preserve"> Elec. Corp. v </w:t>
      </w:r>
      <w:proofErr w:type="spellStart"/>
      <w:r w:rsidRPr="00751113">
        <w:rPr>
          <w:rFonts w:ascii="Times New Roman" w:hAnsi="Times New Roman" w:cs="Times New Roman"/>
          <w:i/>
          <w:sz w:val="23"/>
          <w:szCs w:val="23"/>
          <w:lang w:val="en-US"/>
        </w:rPr>
        <w:t>Mastec</w:t>
      </w:r>
      <w:proofErr w:type="spellEnd"/>
      <w:r w:rsidRPr="00751113">
        <w:rPr>
          <w:rFonts w:ascii="Times New Roman" w:hAnsi="Times New Roman" w:cs="Times New Roman"/>
          <w:i/>
          <w:sz w:val="23"/>
          <w:szCs w:val="23"/>
          <w:lang w:val="en-US"/>
        </w:rPr>
        <w:t xml:space="preserve"> N. Am., Inc</w:t>
      </w:r>
      <w:r w:rsidRPr="00751113">
        <w:rPr>
          <w:rFonts w:ascii="Times New Roman" w:hAnsi="Times New Roman" w:cs="Times New Roman"/>
          <w:sz w:val="23"/>
          <w:szCs w:val="23"/>
          <w:lang w:val="en-US"/>
        </w:rPr>
        <w:t>., 859 N.E.2d 498, 501 (N.Y. 2006).</w:t>
      </w:r>
      <w:proofErr w:type="gramEnd"/>
      <w:r w:rsidRPr="00751113">
        <w:rPr>
          <w:rFonts w:ascii="Times New Roman" w:hAnsi="Times New Roman" w:cs="Times New Roman"/>
          <w:sz w:val="23"/>
          <w:szCs w:val="23"/>
          <w:lang w:val="en-US"/>
        </w:rPr>
        <w:t xml:space="preserve"> For a foreign law to be applied in New York, the law must not “</w:t>
      </w:r>
      <w:r w:rsidRPr="00751113">
        <w:rPr>
          <w:rFonts w:ascii="Times New Roman" w:hAnsi="Times New Roman" w:cs="Times New Roman"/>
          <w:i/>
          <w:sz w:val="23"/>
          <w:szCs w:val="23"/>
          <w:lang w:val="en-US"/>
        </w:rPr>
        <w:t>violate some fundamental principle of justice</w:t>
      </w:r>
      <w:r w:rsidRPr="00751113">
        <w:rPr>
          <w:rFonts w:ascii="Times New Roman" w:hAnsi="Times New Roman" w:cs="Times New Roman"/>
          <w:sz w:val="23"/>
          <w:szCs w:val="23"/>
          <w:lang w:val="en-US"/>
        </w:rPr>
        <w:t>” or be “</w:t>
      </w:r>
      <w:r w:rsidRPr="00751113">
        <w:rPr>
          <w:rFonts w:ascii="Times New Roman" w:hAnsi="Times New Roman" w:cs="Times New Roman"/>
          <w:i/>
          <w:sz w:val="23"/>
          <w:szCs w:val="23"/>
          <w:lang w:val="en-US"/>
        </w:rPr>
        <w:t>truly obnoxious</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See id., at 501</w:t>
      </w:r>
      <w:r w:rsidRPr="00751113">
        <w:rPr>
          <w:rFonts w:ascii="Times New Roman" w:hAnsi="Times New Roman" w:cs="Times New Roman"/>
          <w:sz w:val="23"/>
          <w:szCs w:val="23"/>
          <w:lang w:val="en-US"/>
        </w:rPr>
        <w:t xml:space="preserve">. In Florida, when deciding choice of law issues, contract disputes are governed by the law agreed to by the parties so long as the law of the selected forum is not contrary to Florida public policy. </w:t>
      </w:r>
      <w:proofErr w:type="spellStart"/>
      <w:proofErr w:type="gramStart"/>
      <w:r w:rsidRPr="00751113">
        <w:rPr>
          <w:rFonts w:ascii="Times New Roman" w:hAnsi="Times New Roman" w:cs="Times New Roman"/>
          <w:i/>
          <w:iCs/>
          <w:sz w:val="23"/>
          <w:szCs w:val="23"/>
          <w:lang w:val="en-US"/>
        </w:rPr>
        <w:t>Punzi</w:t>
      </w:r>
      <w:proofErr w:type="spellEnd"/>
      <w:r w:rsidRPr="00751113">
        <w:rPr>
          <w:rFonts w:ascii="Times New Roman" w:hAnsi="Times New Roman" w:cs="Times New Roman"/>
          <w:i/>
          <w:iCs/>
          <w:sz w:val="23"/>
          <w:szCs w:val="23"/>
          <w:lang w:val="en-US"/>
        </w:rPr>
        <w:t xml:space="preserve"> v. Shaker Advertising Agency, Inc</w:t>
      </w:r>
      <w:r w:rsidRPr="00751113">
        <w:rPr>
          <w:rFonts w:ascii="Times New Roman" w:hAnsi="Times New Roman" w:cs="Times New Roman"/>
          <w:iCs/>
          <w:sz w:val="23"/>
          <w:szCs w:val="23"/>
          <w:lang w:val="en-US"/>
        </w:rPr>
        <w:t>., 601 So.2d 599 (Fla. 2d DCA 1999) (</w:t>
      </w:r>
      <w:r w:rsidRPr="00751113">
        <w:rPr>
          <w:rFonts w:ascii="Times New Roman" w:hAnsi="Times New Roman" w:cs="Times New Roman"/>
          <w:sz w:val="23"/>
          <w:szCs w:val="23"/>
          <w:lang w:val="en-US"/>
        </w:rPr>
        <w:t>citing </w:t>
      </w:r>
      <w:r w:rsidRPr="00751113">
        <w:rPr>
          <w:rFonts w:ascii="Times New Roman" w:hAnsi="Times New Roman" w:cs="Times New Roman"/>
          <w:i/>
          <w:iCs/>
          <w:sz w:val="23"/>
          <w:szCs w:val="23"/>
          <w:lang w:val="en-US"/>
        </w:rPr>
        <w:t>Dept. of Motor Vehicles v. Mercedes-Benz of N. Am., Inc., </w:t>
      </w:r>
      <w:r w:rsidRPr="00751113">
        <w:rPr>
          <w:rFonts w:ascii="Times New Roman" w:hAnsi="Times New Roman" w:cs="Times New Roman"/>
          <w:sz w:val="23"/>
          <w:szCs w:val="23"/>
          <w:lang w:val="en-US"/>
        </w:rPr>
        <w:t>408 So.2d 627 (Fla. 2d DCA 1981).)</w:t>
      </w:r>
      <w:proofErr w:type="gramEnd"/>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However, under the so-called “internal affairs doctrine”, even when the shareholders have chosen the laws of another state to govern their agreement, courts may still apply the laws of the state of incorporation with regard to matters which are “</w:t>
      </w:r>
      <w:r w:rsidRPr="00751113">
        <w:rPr>
          <w:rFonts w:ascii="Times New Roman" w:hAnsi="Times New Roman" w:cs="Times New Roman"/>
          <w:i/>
          <w:sz w:val="23"/>
          <w:szCs w:val="23"/>
          <w:lang w:val="en-US"/>
        </w:rPr>
        <w:t>peculiar to the relationship among or between the corporation and its current officers, directors, and shareholders</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proofErr w:type="gramStart"/>
      <w:r w:rsidRPr="00751113">
        <w:rPr>
          <w:rFonts w:ascii="Times New Roman" w:hAnsi="Times New Roman" w:cs="Times New Roman"/>
          <w:i/>
          <w:sz w:val="23"/>
          <w:szCs w:val="23"/>
          <w:lang w:val="en-US"/>
        </w:rPr>
        <w:t>In</w:t>
      </w:r>
      <w:proofErr w:type="gramEnd"/>
      <w:r w:rsidRPr="00751113">
        <w:rPr>
          <w:rFonts w:ascii="Times New Roman" w:hAnsi="Times New Roman" w:cs="Times New Roman"/>
          <w:i/>
          <w:sz w:val="23"/>
          <w:szCs w:val="23"/>
          <w:lang w:val="en-US"/>
        </w:rPr>
        <w:t xml:space="preserve"> Delaware, In Re Topps Co. </w:t>
      </w:r>
      <w:proofErr w:type="spellStart"/>
      <w:r w:rsidRPr="00751113">
        <w:rPr>
          <w:rFonts w:ascii="Times New Roman" w:hAnsi="Times New Roman" w:cs="Times New Roman"/>
          <w:i/>
          <w:sz w:val="23"/>
          <w:szCs w:val="23"/>
          <w:lang w:val="en-US"/>
        </w:rPr>
        <w:t>S’holders</w:t>
      </w:r>
      <w:proofErr w:type="spellEnd"/>
      <w:r w:rsidRPr="00751113">
        <w:rPr>
          <w:rFonts w:ascii="Times New Roman" w:hAnsi="Times New Roman" w:cs="Times New Roman"/>
          <w:i/>
          <w:sz w:val="23"/>
          <w:szCs w:val="23"/>
          <w:lang w:val="en-US"/>
        </w:rPr>
        <w:t xml:space="preserve"> </w:t>
      </w:r>
      <w:proofErr w:type="spellStart"/>
      <w:r w:rsidRPr="00751113">
        <w:rPr>
          <w:rFonts w:ascii="Times New Roman" w:hAnsi="Times New Roman" w:cs="Times New Roman"/>
          <w:i/>
          <w:sz w:val="23"/>
          <w:szCs w:val="23"/>
          <w:lang w:val="en-US"/>
        </w:rPr>
        <w:t>Litig</w:t>
      </w:r>
      <w:proofErr w:type="spellEnd"/>
      <w:r w:rsidRPr="00751113">
        <w:rPr>
          <w:rFonts w:ascii="Times New Roman" w:hAnsi="Times New Roman" w:cs="Times New Roman"/>
          <w:sz w:val="23"/>
          <w:szCs w:val="23"/>
          <w:lang w:val="en-US"/>
        </w:rPr>
        <w:t xml:space="preserve">., 924 A2d 951, 958 (Del. Ch. 2007); </w:t>
      </w:r>
      <w:r w:rsidRPr="00751113">
        <w:rPr>
          <w:rFonts w:ascii="Times New Roman" w:hAnsi="Times New Roman" w:cs="Times New Roman"/>
          <w:i/>
          <w:sz w:val="23"/>
          <w:szCs w:val="23"/>
          <w:lang w:val="en-US"/>
        </w:rPr>
        <w:t>see also In New York, Hart v. General Motors Corp</w:t>
      </w:r>
      <w:r w:rsidRPr="00751113">
        <w:rPr>
          <w:rFonts w:ascii="Times New Roman" w:hAnsi="Times New Roman" w:cs="Times New Roman"/>
          <w:sz w:val="23"/>
          <w:szCs w:val="23"/>
          <w:lang w:val="en-US"/>
        </w:rPr>
        <w:t xml:space="preserve">., 517 N.Y.S. 2d 490, 493 (App. Div. 1987). </w:t>
      </w:r>
    </w:p>
    <w:p w:rsidR="00751113" w:rsidRPr="00751113" w:rsidRDefault="00751113" w:rsidP="00751113">
      <w:pPr>
        <w:pStyle w:val="Prrafodelista"/>
        <w:numPr>
          <w:ilvl w:val="0"/>
          <w:numId w:val="1"/>
        </w:numPr>
        <w:jc w:val="both"/>
        <w:rPr>
          <w:rFonts w:ascii="Times New Roman" w:hAnsi="Times New Roman" w:cs="Times New Roman"/>
          <w:b/>
          <w:sz w:val="23"/>
          <w:szCs w:val="23"/>
          <w:lang w:val="en-US"/>
        </w:rPr>
      </w:pPr>
      <w:r w:rsidRPr="00751113">
        <w:rPr>
          <w:rFonts w:ascii="Times New Roman" w:hAnsi="Times New Roman" w:cs="Times New Roman"/>
          <w:b/>
          <w:sz w:val="23"/>
          <w:szCs w:val="23"/>
          <w:lang w:val="en-US"/>
        </w:rPr>
        <w:t xml:space="preserve">Is it </w:t>
      </w:r>
      <w:r w:rsidR="0043216C" w:rsidRPr="00751113">
        <w:rPr>
          <w:rFonts w:ascii="Times New Roman" w:hAnsi="Times New Roman" w:cs="Times New Roman"/>
          <w:b/>
          <w:sz w:val="23"/>
          <w:szCs w:val="23"/>
          <w:lang w:val="en-US"/>
        </w:rPr>
        <w:t xml:space="preserve">admissible for a shareholders’ agreement to include an arbitration clause with seat outside the </w:t>
      </w:r>
      <w:r w:rsidRPr="00751113">
        <w:rPr>
          <w:rFonts w:ascii="Times New Roman" w:hAnsi="Times New Roman" w:cs="Times New Roman"/>
          <w:b/>
          <w:sz w:val="23"/>
          <w:szCs w:val="23"/>
          <w:lang w:val="en-US"/>
        </w:rPr>
        <w:t>United State</w:t>
      </w:r>
      <w:r w:rsidR="0043216C">
        <w:rPr>
          <w:rFonts w:ascii="Times New Roman" w:hAnsi="Times New Roman" w:cs="Times New Roman"/>
          <w:b/>
          <w:sz w:val="23"/>
          <w:szCs w:val="23"/>
          <w:lang w:val="en-US"/>
        </w:rPr>
        <w:t>s</w:t>
      </w:r>
      <w:r w:rsidRPr="00751113">
        <w:rPr>
          <w:rFonts w:ascii="Times New Roman" w:hAnsi="Times New Roman" w:cs="Times New Roman"/>
          <w:b/>
          <w:sz w:val="23"/>
          <w:szCs w:val="23"/>
          <w:lang w:val="en-US"/>
        </w:rPr>
        <w:t xml:space="preserve"> and/or </w:t>
      </w:r>
      <w:r w:rsidR="0043216C" w:rsidRPr="00751113">
        <w:rPr>
          <w:rFonts w:ascii="Times New Roman" w:hAnsi="Times New Roman" w:cs="Times New Roman"/>
          <w:b/>
          <w:sz w:val="23"/>
          <w:szCs w:val="23"/>
          <w:lang w:val="en-US"/>
        </w:rPr>
        <w:t xml:space="preserve">under a law other than that of the </w:t>
      </w:r>
      <w:r w:rsidRPr="00751113">
        <w:rPr>
          <w:rFonts w:ascii="Times New Roman" w:hAnsi="Times New Roman" w:cs="Times New Roman"/>
          <w:b/>
          <w:sz w:val="23"/>
          <w:szCs w:val="23"/>
          <w:lang w:val="en-US"/>
        </w:rPr>
        <w:t>United States?</w:t>
      </w:r>
    </w:p>
    <w:p w:rsidR="00751113" w:rsidRPr="00751113" w:rsidRDefault="00751113" w:rsidP="00751113">
      <w:pPr>
        <w:jc w:val="both"/>
        <w:rPr>
          <w:rFonts w:ascii="Times New Roman" w:hAnsi="Times New Roman" w:cs="Times New Roman"/>
          <w:sz w:val="23"/>
          <w:szCs w:val="23"/>
          <w:lang w:val="en-US"/>
        </w:rPr>
      </w:pPr>
      <w:r w:rsidRPr="00751113">
        <w:rPr>
          <w:rFonts w:ascii="Times New Roman" w:hAnsi="Times New Roman" w:cs="Times New Roman"/>
          <w:sz w:val="23"/>
          <w:szCs w:val="23"/>
          <w:lang w:val="en-US"/>
        </w:rPr>
        <w:t xml:space="preserve">Yes. </w:t>
      </w:r>
      <w:proofErr w:type="gramStart"/>
      <w:r w:rsidRPr="00751113">
        <w:rPr>
          <w:rFonts w:ascii="Times New Roman" w:hAnsi="Times New Roman" w:cs="Times New Roman"/>
          <w:sz w:val="23"/>
          <w:szCs w:val="23"/>
          <w:lang w:val="en-US"/>
        </w:rPr>
        <w:t>The Federal Arbitration Act 9.</w:t>
      </w:r>
      <w:proofErr w:type="gramEnd"/>
      <w:r w:rsidRPr="00751113">
        <w:rPr>
          <w:rFonts w:ascii="Times New Roman" w:hAnsi="Times New Roman" w:cs="Times New Roman"/>
          <w:sz w:val="23"/>
          <w:szCs w:val="23"/>
          <w:lang w:val="en-US"/>
        </w:rPr>
        <w:t xml:space="preserve"> U.S.C. §1-16 (2006) explicitly permits the selection of a U.S. or a foreign arbitration institution to manage the parties’ disputes under its own rules and the choice of a seat outside the state where the corporation was formed or even outside of the United States. As to the state regulation of arbitration clauses, they will be generally enforced, even if an out of state arbitration institution and/or seat is selected, if the arbitration clause “</w:t>
      </w:r>
      <w:r w:rsidRPr="00751113">
        <w:rPr>
          <w:rFonts w:ascii="Times New Roman" w:hAnsi="Times New Roman" w:cs="Times New Roman"/>
          <w:i/>
          <w:sz w:val="23"/>
          <w:szCs w:val="23"/>
          <w:lang w:val="en-US"/>
        </w:rPr>
        <w:t>clearly and unmistakably so provide[s]</w:t>
      </w:r>
      <w:r w:rsidRPr="00751113">
        <w:rPr>
          <w:rFonts w:ascii="Times New Roman" w:hAnsi="Times New Roman" w:cs="Times New Roman"/>
          <w:sz w:val="23"/>
          <w:szCs w:val="23"/>
          <w:lang w:val="en-US"/>
        </w:rPr>
        <w:t xml:space="preserve">” (for arbitration). For a New York case,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 xml:space="preserve">Smith Barney Shearson Inc. v. </w:t>
      </w:r>
      <w:proofErr w:type="spellStart"/>
      <w:r w:rsidRPr="00751113">
        <w:rPr>
          <w:rFonts w:ascii="Times New Roman" w:hAnsi="Times New Roman" w:cs="Times New Roman"/>
          <w:i/>
          <w:sz w:val="23"/>
          <w:szCs w:val="23"/>
          <w:lang w:val="en-US"/>
        </w:rPr>
        <w:t>Sacharow</w:t>
      </w:r>
      <w:proofErr w:type="spellEnd"/>
      <w:r w:rsidRPr="00751113">
        <w:rPr>
          <w:rFonts w:ascii="Times New Roman" w:hAnsi="Times New Roman" w:cs="Times New Roman"/>
          <w:sz w:val="23"/>
          <w:szCs w:val="23"/>
          <w:lang w:val="en-US"/>
        </w:rPr>
        <w:t>, 689 N.E. 2d 884, 887 N.Y. 1997. Delaware provides that “</w:t>
      </w:r>
      <w:r w:rsidRPr="00751113">
        <w:rPr>
          <w:rFonts w:ascii="Times New Roman" w:hAnsi="Times New Roman" w:cs="Times New Roman"/>
          <w:i/>
          <w:sz w:val="23"/>
          <w:szCs w:val="23"/>
          <w:lang w:val="en-US"/>
        </w:rPr>
        <w:t xml:space="preserve">any doubts concerning the scope of </w:t>
      </w:r>
      <w:proofErr w:type="spellStart"/>
      <w:r w:rsidRPr="00751113">
        <w:rPr>
          <w:rFonts w:ascii="Times New Roman" w:hAnsi="Times New Roman" w:cs="Times New Roman"/>
          <w:i/>
          <w:sz w:val="23"/>
          <w:szCs w:val="23"/>
          <w:lang w:val="en-US"/>
        </w:rPr>
        <w:t>arbitrable</w:t>
      </w:r>
      <w:proofErr w:type="spellEnd"/>
      <w:r w:rsidRPr="00751113">
        <w:rPr>
          <w:rFonts w:ascii="Times New Roman" w:hAnsi="Times New Roman" w:cs="Times New Roman"/>
          <w:i/>
          <w:sz w:val="23"/>
          <w:szCs w:val="23"/>
          <w:lang w:val="en-US"/>
        </w:rPr>
        <w:t xml:space="preserve"> issues should be resolved in favor of arbitration</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See</w:t>
      </w:r>
      <w:r w:rsidRPr="00751113">
        <w:rPr>
          <w:rFonts w:ascii="Times New Roman" w:hAnsi="Times New Roman" w:cs="Times New Roman"/>
          <w:sz w:val="23"/>
          <w:szCs w:val="23"/>
          <w:lang w:val="en-US"/>
        </w:rPr>
        <w:t xml:space="preserve"> </w:t>
      </w:r>
      <w:r w:rsidRPr="00751113">
        <w:rPr>
          <w:rFonts w:ascii="Times New Roman" w:hAnsi="Times New Roman" w:cs="Times New Roman"/>
          <w:i/>
          <w:sz w:val="23"/>
          <w:szCs w:val="23"/>
          <w:lang w:val="en-US"/>
        </w:rPr>
        <w:t>McLaughlin v. McCann</w:t>
      </w:r>
      <w:r w:rsidRPr="00751113">
        <w:rPr>
          <w:rFonts w:ascii="Times New Roman" w:hAnsi="Times New Roman" w:cs="Times New Roman"/>
          <w:sz w:val="23"/>
          <w:szCs w:val="23"/>
          <w:lang w:val="en-US"/>
        </w:rPr>
        <w:t xml:space="preserve">, </w:t>
      </w:r>
      <w:proofErr w:type="gramStart"/>
      <w:r w:rsidRPr="00751113">
        <w:rPr>
          <w:rFonts w:ascii="Times New Roman" w:hAnsi="Times New Roman" w:cs="Times New Roman"/>
          <w:sz w:val="23"/>
          <w:szCs w:val="23"/>
          <w:lang w:val="en-US"/>
        </w:rPr>
        <w:t>942 A.2d 626</w:t>
      </w:r>
      <w:proofErr w:type="gramEnd"/>
      <w:r w:rsidRPr="00751113">
        <w:rPr>
          <w:rFonts w:ascii="Times New Roman" w:hAnsi="Times New Roman" w:cs="Times New Roman"/>
          <w:sz w:val="23"/>
          <w:szCs w:val="23"/>
          <w:lang w:val="en-US"/>
        </w:rPr>
        <w:t xml:space="preserve"> (Del. Ch. 2008). The choice of another state’s or a foreign law to be applied by an arbitration tribunal is no different than when such law is applied by the court of another state or country.</w:t>
      </w:r>
    </w:p>
    <w:sectPr w:rsidR="00751113" w:rsidRPr="00751113">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11B" w:rsidRDefault="000E111B" w:rsidP="00BD3097">
      <w:pPr>
        <w:spacing w:after="0" w:line="240" w:lineRule="auto"/>
      </w:pPr>
      <w:r>
        <w:separator/>
      </w:r>
    </w:p>
  </w:endnote>
  <w:endnote w:type="continuationSeparator" w:id="0">
    <w:p w:rsidR="000E111B" w:rsidRDefault="000E111B" w:rsidP="00BD30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6159896"/>
      <w:docPartObj>
        <w:docPartGallery w:val="Page Numbers (Bottom of Page)"/>
        <w:docPartUnique/>
      </w:docPartObj>
    </w:sdtPr>
    <w:sdtEndPr>
      <w:rPr>
        <w:rFonts w:ascii="Times New Roman" w:hAnsi="Times New Roman" w:cs="Times New Roman"/>
        <w:b/>
        <w:sz w:val="20"/>
        <w:szCs w:val="20"/>
      </w:rPr>
    </w:sdtEndPr>
    <w:sdtContent>
      <w:p w:rsidR="00BD3097" w:rsidRPr="00BD3097" w:rsidRDefault="00BD3097">
        <w:pPr>
          <w:pStyle w:val="Piedepgina"/>
          <w:jc w:val="center"/>
          <w:rPr>
            <w:rFonts w:ascii="Times New Roman" w:hAnsi="Times New Roman" w:cs="Times New Roman"/>
            <w:b/>
            <w:sz w:val="20"/>
            <w:szCs w:val="20"/>
          </w:rPr>
        </w:pPr>
        <w:r w:rsidRPr="00BD3097">
          <w:rPr>
            <w:rFonts w:ascii="Times New Roman" w:hAnsi="Times New Roman" w:cs="Times New Roman"/>
            <w:b/>
            <w:sz w:val="20"/>
            <w:szCs w:val="20"/>
          </w:rPr>
          <w:t xml:space="preserve">Page </w:t>
        </w:r>
        <w:r w:rsidRPr="00BD3097">
          <w:rPr>
            <w:rFonts w:ascii="Times New Roman" w:hAnsi="Times New Roman" w:cs="Times New Roman"/>
            <w:b/>
            <w:sz w:val="20"/>
            <w:szCs w:val="20"/>
          </w:rPr>
          <w:fldChar w:fldCharType="begin"/>
        </w:r>
        <w:r w:rsidRPr="00BD3097">
          <w:rPr>
            <w:rFonts w:ascii="Times New Roman" w:hAnsi="Times New Roman" w:cs="Times New Roman"/>
            <w:b/>
            <w:sz w:val="20"/>
            <w:szCs w:val="20"/>
          </w:rPr>
          <w:instrText>PAGE   \* MERGEFORMAT</w:instrText>
        </w:r>
        <w:r w:rsidRPr="00BD3097">
          <w:rPr>
            <w:rFonts w:ascii="Times New Roman" w:hAnsi="Times New Roman" w:cs="Times New Roman"/>
            <w:b/>
            <w:sz w:val="20"/>
            <w:szCs w:val="20"/>
          </w:rPr>
          <w:fldChar w:fldCharType="separate"/>
        </w:r>
        <w:r w:rsidR="00AC5D97">
          <w:rPr>
            <w:rFonts w:ascii="Times New Roman" w:hAnsi="Times New Roman" w:cs="Times New Roman"/>
            <w:b/>
            <w:noProof/>
            <w:sz w:val="20"/>
            <w:szCs w:val="20"/>
          </w:rPr>
          <w:t>7</w:t>
        </w:r>
        <w:r w:rsidRPr="00BD3097">
          <w:rPr>
            <w:rFonts w:ascii="Times New Roman" w:hAnsi="Times New Roman" w:cs="Times New Roman"/>
            <w:b/>
            <w:sz w:val="20"/>
            <w:szCs w:val="20"/>
          </w:rPr>
          <w:fldChar w:fldCharType="end"/>
        </w:r>
      </w:p>
    </w:sdtContent>
  </w:sdt>
  <w:p w:rsidR="00BD3097" w:rsidRDefault="00BD309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11B" w:rsidRDefault="000E111B" w:rsidP="00BD3097">
      <w:pPr>
        <w:spacing w:after="0" w:line="240" w:lineRule="auto"/>
      </w:pPr>
      <w:r>
        <w:separator/>
      </w:r>
    </w:p>
  </w:footnote>
  <w:footnote w:type="continuationSeparator" w:id="0">
    <w:p w:rsidR="000E111B" w:rsidRDefault="000E111B" w:rsidP="00BD30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E61E38"/>
    <w:multiLevelType w:val="hybridMultilevel"/>
    <w:tmpl w:val="1E38CBA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113"/>
    <w:rsid w:val="000E111B"/>
    <w:rsid w:val="00404614"/>
    <w:rsid w:val="0043216C"/>
    <w:rsid w:val="0045727E"/>
    <w:rsid w:val="0054094D"/>
    <w:rsid w:val="00660318"/>
    <w:rsid w:val="00743746"/>
    <w:rsid w:val="00751113"/>
    <w:rsid w:val="00AC5D97"/>
    <w:rsid w:val="00BD3097"/>
    <w:rsid w:val="00F31F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11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51113"/>
    <w:pPr>
      <w:ind w:left="720"/>
      <w:contextualSpacing/>
    </w:pPr>
  </w:style>
  <w:style w:type="paragraph" w:styleId="Encabezado">
    <w:name w:val="header"/>
    <w:basedOn w:val="Normal"/>
    <w:link w:val="EncabezadoCar"/>
    <w:uiPriority w:val="99"/>
    <w:unhideWhenUsed/>
    <w:rsid w:val="00BD309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D3097"/>
  </w:style>
  <w:style w:type="paragraph" w:styleId="Piedepgina">
    <w:name w:val="footer"/>
    <w:basedOn w:val="Normal"/>
    <w:link w:val="PiedepginaCar"/>
    <w:uiPriority w:val="99"/>
    <w:unhideWhenUsed/>
    <w:rsid w:val="00BD309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D30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11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51113"/>
    <w:pPr>
      <w:ind w:left="720"/>
      <w:contextualSpacing/>
    </w:pPr>
  </w:style>
  <w:style w:type="paragraph" w:styleId="Encabezado">
    <w:name w:val="header"/>
    <w:basedOn w:val="Normal"/>
    <w:link w:val="EncabezadoCar"/>
    <w:uiPriority w:val="99"/>
    <w:unhideWhenUsed/>
    <w:rsid w:val="00BD309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D3097"/>
  </w:style>
  <w:style w:type="paragraph" w:styleId="Piedepgina">
    <w:name w:val="footer"/>
    <w:basedOn w:val="Normal"/>
    <w:link w:val="PiedepginaCar"/>
    <w:uiPriority w:val="99"/>
    <w:unhideWhenUsed/>
    <w:rsid w:val="00BD309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D30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2980</Words>
  <Characters>16391</Characters>
  <Application>Microsoft Office Word</Application>
  <DocSecurity>4</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Perez-Llorca</Company>
  <LinksUpToDate>false</LinksUpToDate>
  <CharactersWithSpaces>19333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 Fuentes</dc:creator>
  <cp:lastModifiedBy>Beatriz Montes</cp:lastModifiedBy>
  <cp:revision>2</cp:revision>
  <dcterms:created xsi:type="dcterms:W3CDTF">2018-06-29T19:35:00Z</dcterms:created>
  <dcterms:modified xsi:type="dcterms:W3CDTF">2018-06-29T19:35:00Z</dcterms:modified>
</cp:coreProperties>
</file>